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5"/>
        <w:gridCol w:w="2683"/>
      </w:tblGrid>
      <w:tr w:rsidR="00023DA4" w:rsidRPr="00B4120A" w:rsidTr="009E11B6">
        <w:tc>
          <w:tcPr>
            <w:tcW w:w="6609" w:type="dxa"/>
            <w:tcBorders>
              <w:top w:val="single" w:sz="4" w:space="0" w:color="auto"/>
              <w:left w:val="single" w:sz="4" w:space="0" w:color="auto"/>
              <w:right w:val="single" w:sz="4" w:space="0" w:color="auto"/>
            </w:tcBorders>
            <w:shd w:val="clear" w:color="auto" w:fill="auto"/>
            <w:tcMar>
              <w:top w:w="57" w:type="dxa"/>
              <w:bottom w:w="57" w:type="dxa"/>
            </w:tcMar>
          </w:tcPr>
          <w:p w:rsidR="00023DA4" w:rsidRPr="00B4120A" w:rsidRDefault="00023DA4" w:rsidP="009E11B6">
            <w:pPr>
              <w:suppressAutoHyphens/>
              <w:jc w:val="both"/>
              <w:rPr>
                <w:b/>
                <w:i/>
                <w:sz w:val="22"/>
                <w:szCs w:val="22"/>
              </w:rPr>
            </w:pPr>
            <w:r w:rsidRPr="00B4120A">
              <w:rPr>
                <w:b/>
                <w:sz w:val="22"/>
                <w:szCs w:val="22"/>
              </w:rPr>
              <w:t xml:space="preserve">Tantárgy </w:t>
            </w:r>
            <w:r w:rsidRPr="00B4120A">
              <w:rPr>
                <w:sz w:val="22"/>
                <w:szCs w:val="22"/>
              </w:rPr>
              <w:t>neve:</w:t>
            </w:r>
            <w:r w:rsidRPr="00B4120A">
              <w:rPr>
                <w:b/>
                <w:sz w:val="22"/>
                <w:szCs w:val="22"/>
              </w:rPr>
              <w:t xml:space="preserve"> Empirikus kutatások számítógépes feldolgozása</w:t>
            </w:r>
            <w:r>
              <w:rPr>
                <w:b/>
                <w:sz w:val="22"/>
                <w:szCs w:val="22"/>
              </w:rPr>
              <w:t xml:space="preserve"> NBP_IK200G3</w:t>
            </w:r>
          </w:p>
        </w:tc>
        <w:tc>
          <w:tcPr>
            <w:tcW w:w="2747" w:type="dxa"/>
            <w:tcBorders>
              <w:top w:val="single" w:sz="4" w:space="0" w:color="auto"/>
              <w:left w:val="single" w:sz="4" w:space="0" w:color="auto"/>
              <w:right w:val="single" w:sz="4" w:space="0" w:color="auto"/>
            </w:tcBorders>
            <w:shd w:val="clear" w:color="auto" w:fill="auto"/>
            <w:tcMar>
              <w:top w:w="57" w:type="dxa"/>
              <w:bottom w:w="57" w:type="dxa"/>
            </w:tcMar>
          </w:tcPr>
          <w:p w:rsidR="00023DA4" w:rsidRPr="00B4120A" w:rsidRDefault="00023DA4" w:rsidP="009E11B6">
            <w:pPr>
              <w:suppressAutoHyphens/>
              <w:spacing w:before="60"/>
              <w:jc w:val="both"/>
              <w:rPr>
                <w:b/>
                <w:sz w:val="22"/>
                <w:szCs w:val="22"/>
              </w:rPr>
            </w:pPr>
            <w:r w:rsidRPr="00B4120A">
              <w:rPr>
                <w:b/>
                <w:sz w:val="22"/>
                <w:szCs w:val="22"/>
              </w:rPr>
              <w:t>Kreditértéke: 3</w:t>
            </w:r>
          </w:p>
        </w:tc>
      </w:tr>
      <w:tr w:rsidR="00023DA4" w:rsidRPr="00B4120A" w:rsidTr="009E11B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023DA4" w:rsidRPr="00B4120A" w:rsidRDefault="00023DA4" w:rsidP="009E11B6">
            <w:pPr>
              <w:suppressAutoHyphens/>
              <w:spacing w:before="60"/>
              <w:jc w:val="both"/>
              <w:rPr>
                <w:sz w:val="22"/>
                <w:szCs w:val="22"/>
              </w:rPr>
            </w:pPr>
            <w:r w:rsidRPr="00B4120A">
              <w:rPr>
                <w:sz w:val="22"/>
                <w:szCs w:val="22"/>
              </w:rPr>
              <w:t xml:space="preserve">A tantárgy </w:t>
            </w:r>
            <w:r w:rsidRPr="00B4120A">
              <w:rPr>
                <w:b/>
                <w:sz w:val="22"/>
                <w:szCs w:val="22"/>
              </w:rPr>
              <w:t>besorolása</w:t>
            </w:r>
            <w:r w:rsidRPr="00B4120A">
              <w:rPr>
                <w:sz w:val="22"/>
                <w:szCs w:val="22"/>
              </w:rPr>
              <w:t xml:space="preserve">: </w:t>
            </w:r>
            <w:r w:rsidRPr="00B4120A">
              <w:rPr>
                <w:b/>
                <w:sz w:val="22"/>
                <w:szCs w:val="22"/>
              </w:rPr>
              <w:t>kötelező</w:t>
            </w:r>
          </w:p>
        </w:tc>
      </w:tr>
      <w:tr w:rsidR="00023DA4" w:rsidRPr="00B4120A" w:rsidTr="009E11B6">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23DA4" w:rsidRPr="00B4120A" w:rsidRDefault="00023DA4" w:rsidP="009E11B6">
            <w:pPr>
              <w:suppressAutoHyphens/>
              <w:spacing w:before="40" w:after="40"/>
              <w:jc w:val="both"/>
              <w:rPr>
                <w:sz w:val="22"/>
                <w:szCs w:val="22"/>
              </w:rPr>
            </w:pPr>
            <w:r w:rsidRPr="00B4120A">
              <w:rPr>
                <w:b/>
                <w:sz w:val="22"/>
                <w:szCs w:val="22"/>
              </w:rPr>
              <w:t>A tantárgy elméleti vagy gyakorlati jellegének mértéke, „képzési karaktere”100% gyakorlat</w:t>
            </w:r>
          </w:p>
        </w:tc>
      </w:tr>
      <w:tr w:rsidR="00023DA4" w:rsidRPr="00B4120A" w:rsidTr="009E11B6">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023DA4" w:rsidRPr="00B4120A" w:rsidRDefault="00023DA4" w:rsidP="009E11B6">
            <w:pPr>
              <w:suppressAutoHyphens/>
              <w:spacing w:before="60"/>
              <w:jc w:val="both"/>
              <w:rPr>
                <w:sz w:val="22"/>
                <w:szCs w:val="22"/>
              </w:rPr>
            </w:pPr>
            <w:r w:rsidRPr="00B4120A">
              <w:rPr>
                <w:sz w:val="22"/>
                <w:szCs w:val="22"/>
              </w:rPr>
              <w:t xml:space="preserve">A </w:t>
            </w:r>
            <w:r w:rsidRPr="00B4120A">
              <w:rPr>
                <w:b/>
                <w:sz w:val="22"/>
                <w:szCs w:val="22"/>
              </w:rPr>
              <w:t>tanóra típusa</w:t>
            </w:r>
            <w:r w:rsidRPr="00B4120A">
              <w:rPr>
                <w:sz w:val="22"/>
                <w:szCs w:val="22"/>
              </w:rPr>
              <w:t xml:space="preserve">: szem. és </w:t>
            </w:r>
            <w:r w:rsidRPr="00B4120A">
              <w:rPr>
                <w:b/>
                <w:sz w:val="22"/>
                <w:szCs w:val="22"/>
              </w:rPr>
              <w:t>óraszáma</w:t>
            </w:r>
            <w:r w:rsidRPr="00B4120A">
              <w:rPr>
                <w:sz w:val="22"/>
                <w:szCs w:val="22"/>
              </w:rPr>
              <w:t xml:space="preserve">: </w:t>
            </w:r>
            <w:r w:rsidRPr="00B4120A">
              <w:rPr>
                <w:b/>
                <w:sz w:val="22"/>
                <w:szCs w:val="22"/>
              </w:rPr>
              <w:t xml:space="preserve">30 </w:t>
            </w:r>
            <w:r w:rsidRPr="00B4120A">
              <w:rPr>
                <w:sz w:val="22"/>
                <w:szCs w:val="22"/>
              </w:rPr>
              <w:t xml:space="preserve">az adott </w:t>
            </w:r>
            <w:r w:rsidRPr="00B4120A">
              <w:rPr>
                <w:b/>
                <w:sz w:val="22"/>
                <w:szCs w:val="22"/>
              </w:rPr>
              <w:t>félévben</w:t>
            </w:r>
            <w:r w:rsidRPr="00B4120A">
              <w:rPr>
                <w:sz w:val="22"/>
                <w:szCs w:val="22"/>
              </w:rPr>
              <w:t>,</w:t>
            </w:r>
          </w:p>
        </w:tc>
      </w:tr>
      <w:tr w:rsidR="00023DA4" w:rsidRPr="00B4120A" w:rsidTr="009E11B6">
        <w:tc>
          <w:tcPr>
            <w:tcW w:w="9356" w:type="dxa"/>
            <w:gridSpan w:val="2"/>
            <w:tcBorders>
              <w:left w:val="single" w:sz="4" w:space="0" w:color="auto"/>
              <w:right w:val="single" w:sz="4" w:space="0" w:color="auto"/>
            </w:tcBorders>
            <w:shd w:val="clear" w:color="auto" w:fill="auto"/>
            <w:tcMar>
              <w:top w:w="57" w:type="dxa"/>
              <w:bottom w:w="57" w:type="dxa"/>
            </w:tcMar>
          </w:tcPr>
          <w:p w:rsidR="00023DA4" w:rsidRPr="00B4120A" w:rsidRDefault="00023DA4" w:rsidP="009E11B6">
            <w:pPr>
              <w:suppressAutoHyphens/>
              <w:spacing w:before="60"/>
              <w:jc w:val="both"/>
              <w:rPr>
                <w:sz w:val="22"/>
                <w:szCs w:val="22"/>
              </w:rPr>
            </w:pPr>
            <w:r w:rsidRPr="00B4120A">
              <w:rPr>
                <w:sz w:val="22"/>
                <w:szCs w:val="22"/>
              </w:rPr>
              <w:t xml:space="preserve">A </w:t>
            </w:r>
            <w:r w:rsidRPr="00B4120A">
              <w:rPr>
                <w:b/>
                <w:sz w:val="22"/>
                <w:szCs w:val="22"/>
              </w:rPr>
              <w:t xml:space="preserve">számonkérés </w:t>
            </w:r>
            <w:r w:rsidRPr="00B4120A">
              <w:rPr>
                <w:sz w:val="22"/>
                <w:szCs w:val="22"/>
              </w:rPr>
              <w:t xml:space="preserve">módja: </w:t>
            </w:r>
            <w:proofErr w:type="spellStart"/>
            <w:r w:rsidRPr="00B4120A">
              <w:rPr>
                <w:sz w:val="22"/>
                <w:szCs w:val="22"/>
              </w:rPr>
              <w:t>gyj</w:t>
            </w:r>
            <w:proofErr w:type="spellEnd"/>
            <w:r w:rsidRPr="00B4120A">
              <w:rPr>
                <w:sz w:val="22"/>
                <w:szCs w:val="22"/>
              </w:rPr>
              <w:t>.</w:t>
            </w:r>
          </w:p>
        </w:tc>
      </w:tr>
      <w:tr w:rsidR="00023DA4" w:rsidRPr="00B4120A" w:rsidTr="009E11B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023DA4" w:rsidRPr="00B4120A" w:rsidRDefault="00023DA4" w:rsidP="009E11B6">
            <w:pPr>
              <w:suppressAutoHyphens/>
              <w:jc w:val="both"/>
              <w:rPr>
                <w:sz w:val="22"/>
                <w:szCs w:val="22"/>
              </w:rPr>
            </w:pPr>
            <w:r w:rsidRPr="00B4120A">
              <w:rPr>
                <w:sz w:val="22"/>
                <w:szCs w:val="22"/>
              </w:rPr>
              <w:t xml:space="preserve">A tantárgy </w:t>
            </w:r>
            <w:r w:rsidRPr="00B4120A">
              <w:rPr>
                <w:b/>
                <w:sz w:val="22"/>
                <w:szCs w:val="22"/>
              </w:rPr>
              <w:t>tantervi helye</w:t>
            </w:r>
            <w:r w:rsidRPr="00B4120A">
              <w:rPr>
                <w:sz w:val="22"/>
                <w:szCs w:val="22"/>
              </w:rPr>
              <w:t>: 6. félév</w:t>
            </w:r>
          </w:p>
        </w:tc>
      </w:tr>
      <w:tr w:rsidR="00023DA4" w:rsidRPr="00B4120A" w:rsidTr="009E11B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023DA4" w:rsidRPr="00B4120A" w:rsidRDefault="00023DA4" w:rsidP="009E11B6">
            <w:pPr>
              <w:suppressAutoHyphens/>
              <w:jc w:val="both"/>
              <w:rPr>
                <w:sz w:val="22"/>
                <w:szCs w:val="22"/>
              </w:rPr>
            </w:pPr>
            <w:r w:rsidRPr="00B4120A">
              <w:rPr>
                <w:sz w:val="22"/>
                <w:szCs w:val="22"/>
              </w:rPr>
              <w:t>Előtanulmányi feltételek</w:t>
            </w:r>
            <w:r w:rsidRPr="00AE6561">
              <w:rPr>
                <w:sz w:val="22"/>
                <w:szCs w:val="22"/>
              </w:rPr>
              <w:t>:</w:t>
            </w:r>
            <w:r w:rsidRPr="00AE6561">
              <w:rPr>
                <w:i/>
                <w:sz w:val="22"/>
                <w:szCs w:val="22"/>
              </w:rPr>
              <w:t xml:space="preserve"> </w:t>
            </w:r>
            <w:r w:rsidR="00700377" w:rsidRPr="00AE6561">
              <w:rPr>
                <w:sz w:val="22"/>
                <w:szCs w:val="22"/>
              </w:rPr>
              <w:t>Mérés-értékelési módszerek a pedagógiában NBP_GP170K3</w:t>
            </w:r>
          </w:p>
        </w:tc>
      </w:tr>
      <w:tr w:rsidR="00023DA4" w:rsidRPr="00B4120A" w:rsidTr="009E11B6">
        <w:tc>
          <w:tcPr>
            <w:tcW w:w="9356"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023DA4" w:rsidRPr="00B4120A" w:rsidRDefault="00023DA4" w:rsidP="009E11B6">
            <w:pPr>
              <w:suppressAutoHyphens/>
              <w:spacing w:before="60"/>
              <w:jc w:val="both"/>
              <w:rPr>
                <w:b/>
                <w:sz w:val="22"/>
                <w:szCs w:val="22"/>
              </w:rPr>
            </w:pPr>
            <w:r w:rsidRPr="00B4120A">
              <w:rPr>
                <w:b/>
                <w:sz w:val="22"/>
                <w:szCs w:val="22"/>
              </w:rPr>
              <w:t>Tantárgy-leírás</w:t>
            </w:r>
            <w:r w:rsidRPr="00B4120A">
              <w:rPr>
                <w:sz w:val="22"/>
                <w:szCs w:val="22"/>
              </w:rPr>
              <w:t xml:space="preserve">: az elsajátítandó </w:t>
            </w:r>
            <w:r w:rsidRPr="00B4120A">
              <w:rPr>
                <w:b/>
                <w:sz w:val="22"/>
                <w:szCs w:val="22"/>
              </w:rPr>
              <w:t>ism</w:t>
            </w:r>
            <w:bookmarkStart w:id="0" w:name="_GoBack"/>
            <w:bookmarkEnd w:id="0"/>
            <w:r w:rsidRPr="00B4120A">
              <w:rPr>
                <w:b/>
                <w:sz w:val="22"/>
                <w:szCs w:val="22"/>
              </w:rPr>
              <w:t>eretanyag tömör, ugyanakkor informáló leírása</w:t>
            </w:r>
          </w:p>
        </w:tc>
      </w:tr>
      <w:tr w:rsidR="00023DA4" w:rsidRPr="00B4120A" w:rsidTr="009E11B6">
        <w:trPr>
          <w:trHeight w:val="280"/>
        </w:trPr>
        <w:tc>
          <w:tcPr>
            <w:tcW w:w="9356"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023DA4" w:rsidRPr="00B4120A" w:rsidRDefault="00023DA4" w:rsidP="009E11B6">
            <w:pPr>
              <w:jc w:val="both"/>
              <w:rPr>
                <w:sz w:val="22"/>
                <w:szCs w:val="22"/>
              </w:rPr>
            </w:pPr>
            <w:r w:rsidRPr="00B4120A">
              <w:rPr>
                <w:sz w:val="22"/>
                <w:szCs w:val="22"/>
              </w:rPr>
              <w:t>A kurzus célja, hogy felkészíti a hallgatókat a tudományos kutatás tervezésének, a matematikai statisztika alapvető módszereire, az adatok feldolgozására és a kapott eredmények értelmezésére, bemutatására.</w:t>
            </w:r>
          </w:p>
          <w:p w:rsidR="00023DA4" w:rsidRPr="00B4120A" w:rsidRDefault="00023DA4" w:rsidP="009E11B6">
            <w:pPr>
              <w:jc w:val="both"/>
              <w:rPr>
                <w:sz w:val="22"/>
                <w:szCs w:val="22"/>
              </w:rPr>
            </w:pPr>
            <w:r w:rsidRPr="00B4120A">
              <w:rPr>
                <w:sz w:val="22"/>
                <w:szCs w:val="22"/>
              </w:rPr>
              <w:t xml:space="preserve">A társadalomtudományi kutatások is megkövetelik a matematikai statisztikai ismereteken alapuló mérés-értékelés kreatív ismeretét. A numerikusan kapott eredmények pedagógiai értelmezése és helyes következtetései meghatározzák a további kutatás menetét is. </w:t>
            </w:r>
          </w:p>
          <w:p w:rsidR="00023DA4" w:rsidRPr="00B4120A" w:rsidRDefault="00023DA4" w:rsidP="009E11B6">
            <w:pPr>
              <w:jc w:val="both"/>
              <w:rPr>
                <w:sz w:val="22"/>
                <w:szCs w:val="22"/>
              </w:rPr>
            </w:pPr>
            <w:r w:rsidRPr="00B4120A">
              <w:rPr>
                <w:sz w:val="22"/>
                <w:szCs w:val="22"/>
              </w:rPr>
              <w:t>A hallgató a félév során elsajátítja a relatív gyakoriság és a valószínűségek összefüggéseit, valamint a valószínűség és a várható érték a szórás, és fontosabb eloszlástípusok elméleti és gyakorlati alapjait.</w:t>
            </w:r>
          </w:p>
        </w:tc>
      </w:tr>
      <w:tr w:rsidR="00023DA4" w:rsidRPr="00B4120A" w:rsidTr="009E11B6">
        <w:tc>
          <w:tcPr>
            <w:tcW w:w="9356"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rsidR="00023DA4" w:rsidRPr="00B4120A" w:rsidRDefault="00023DA4" w:rsidP="009E11B6">
            <w:pPr>
              <w:suppressAutoHyphens/>
              <w:ind w:right="-108"/>
              <w:rPr>
                <w:b/>
                <w:sz w:val="22"/>
                <w:szCs w:val="22"/>
              </w:rPr>
            </w:pPr>
            <w:r w:rsidRPr="00B4120A">
              <w:rPr>
                <w:sz w:val="22"/>
                <w:szCs w:val="22"/>
              </w:rPr>
              <w:t xml:space="preserve">A </w:t>
            </w:r>
            <w:r w:rsidRPr="00B4120A">
              <w:rPr>
                <w:b/>
                <w:sz w:val="22"/>
                <w:szCs w:val="22"/>
              </w:rPr>
              <w:t>2-5</w:t>
            </w:r>
            <w:r w:rsidRPr="00B4120A">
              <w:rPr>
                <w:sz w:val="22"/>
                <w:szCs w:val="22"/>
              </w:rPr>
              <w:t xml:space="preserve"> legfontosabb </w:t>
            </w:r>
            <w:r w:rsidRPr="00B4120A">
              <w:rPr>
                <w:i/>
                <w:sz w:val="22"/>
                <w:szCs w:val="22"/>
              </w:rPr>
              <w:t>kötelező,</w:t>
            </w:r>
            <w:r w:rsidRPr="00B4120A">
              <w:rPr>
                <w:sz w:val="22"/>
                <w:szCs w:val="22"/>
              </w:rPr>
              <w:t xml:space="preserve"> illetve </w:t>
            </w:r>
            <w:r w:rsidRPr="00B4120A">
              <w:rPr>
                <w:i/>
                <w:sz w:val="22"/>
                <w:szCs w:val="22"/>
              </w:rPr>
              <w:t>ajánlott</w:t>
            </w:r>
            <w:r w:rsidRPr="00B4120A">
              <w:rPr>
                <w:b/>
                <w:i/>
                <w:sz w:val="22"/>
                <w:szCs w:val="22"/>
              </w:rPr>
              <w:t xml:space="preserve"> </w:t>
            </w:r>
            <w:r w:rsidRPr="00B4120A">
              <w:rPr>
                <w:b/>
                <w:sz w:val="22"/>
                <w:szCs w:val="22"/>
              </w:rPr>
              <w:t xml:space="preserve">irodalom </w:t>
            </w:r>
            <w:r w:rsidRPr="00B4120A">
              <w:rPr>
                <w:sz w:val="22"/>
                <w:szCs w:val="22"/>
              </w:rPr>
              <w:t>(jegyzet, tankönyv) felsorolása bibliográfiai adatokkal (szerző, cím, kiadás adatai, (esetleg oldalak), ISBN)</w:t>
            </w:r>
          </w:p>
        </w:tc>
      </w:tr>
      <w:tr w:rsidR="00023DA4" w:rsidRPr="00B4120A" w:rsidTr="009E11B6">
        <w:tc>
          <w:tcPr>
            <w:tcW w:w="9356" w:type="dxa"/>
            <w:gridSpan w:val="2"/>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023DA4" w:rsidRPr="00B4120A" w:rsidRDefault="00023DA4" w:rsidP="009E11B6">
            <w:pPr>
              <w:rPr>
                <w:b/>
                <w:sz w:val="22"/>
                <w:szCs w:val="22"/>
                <w:lang w:eastAsia="en-US"/>
              </w:rPr>
            </w:pPr>
            <w:r w:rsidRPr="00B4120A">
              <w:rPr>
                <w:b/>
                <w:sz w:val="22"/>
                <w:szCs w:val="22"/>
                <w:lang w:eastAsia="en-US"/>
              </w:rPr>
              <w:t>Kötelező irodalom:</w:t>
            </w:r>
          </w:p>
          <w:p w:rsidR="00023DA4" w:rsidRPr="00B4120A" w:rsidRDefault="00023DA4" w:rsidP="00023DA4">
            <w:pPr>
              <w:numPr>
                <w:ilvl w:val="0"/>
                <w:numId w:val="2"/>
              </w:numPr>
              <w:rPr>
                <w:sz w:val="22"/>
                <w:szCs w:val="22"/>
                <w:lang w:eastAsia="en-US"/>
              </w:rPr>
            </w:pPr>
            <w:r w:rsidRPr="00B4120A">
              <w:rPr>
                <w:sz w:val="22"/>
                <w:szCs w:val="22"/>
                <w:lang w:eastAsia="en-US"/>
              </w:rPr>
              <w:t>LENGYELNÉ Online mérés-értékelés II. / Lengyelné Molnár Tünde. – Eger: Eszterházy Károly Főiskola, 2014. ISBN 978-615-5250-68-2</w:t>
            </w:r>
          </w:p>
          <w:p w:rsidR="00023DA4" w:rsidRPr="00B4120A" w:rsidRDefault="00023DA4" w:rsidP="00023DA4">
            <w:pPr>
              <w:numPr>
                <w:ilvl w:val="0"/>
                <w:numId w:val="2"/>
              </w:numPr>
              <w:rPr>
                <w:sz w:val="22"/>
                <w:szCs w:val="22"/>
                <w:lang w:eastAsia="en-US"/>
              </w:rPr>
            </w:pPr>
            <w:r w:rsidRPr="00B4120A">
              <w:rPr>
                <w:sz w:val="22"/>
                <w:szCs w:val="22"/>
                <w:lang w:eastAsia="en-US"/>
              </w:rPr>
              <w:t xml:space="preserve">TÓTHNÉ </w:t>
            </w:r>
            <w:proofErr w:type="spellStart"/>
            <w:r w:rsidRPr="00B4120A">
              <w:rPr>
                <w:sz w:val="22"/>
                <w:szCs w:val="22"/>
                <w:lang w:eastAsia="en-US"/>
              </w:rPr>
              <w:t>Parázsó</w:t>
            </w:r>
            <w:proofErr w:type="spellEnd"/>
            <w:r w:rsidRPr="00B4120A">
              <w:rPr>
                <w:sz w:val="22"/>
                <w:szCs w:val="22"/>
                <w:lang w:eastAsia="en-US"/>
              </w:rPr>
              <w:t xml:space="preserve"> Lenke: Online mérés-értékelés II. - Eger, Eszterházy Károly Főiskola, 2013.</w:t>
            </w:r>
          </w:p>
          <w:p w:rsidR="00023DA4" w:rsidRPr="00B4120A" w:rsidRDefault="00023DA4" w:rsidP="00023DA4">
            <w:pPr>
              <w:numPr>
                <w:ilvl w:val="0"/>
                <w:numId w:val="2"/>
              </w:numPr>
              <w:rPr>
                <w:sz w:val="22"/>
                <w:szCs w:val="22"/>
                <w:lang w:eastAsia="en-US"/>
              </w:rPr>
            </w:pPr>
            <w:r w:rsidRPr="00B4120A">
              <w:rPr>
                <w:sz w:val="22"/>
                <w:szCs w:val="22"/>
                <w:lang w:eastAsia="en-US"/>
              </w:rPr>
              <w:t xml:space="preserve">LENGYELNÉ Molnár Tünde, KIS-TÓTH Lajos, TÓTHNÉ </w:t>
            </w:r>
            <w:proofErr w:type="spellStart"/>
            <w:r w:rsidRPr="00B4120A">
              <w:rPr>
                <w:sz w:val="22"/>
                <w:szCs w:val="22"/>
                <w:lang w:eastAsia="en-US"/>
              </w:rPr>
              <w:t>Parázsó</w:t>
            </w:r>
            <w:proofErr w:type="spellEnd"/>
            <w:r w:rsidRPr="00B4120A">
              <w:rPr>
                <w:sz w:val="22"/>
                <w:szCs w:val="22"/>
                <w:lang w:eastAsia="en-US"/>
              </w:rPr>
              <w:t xml:space="preserve"> Lenke: Statisztikai programok. – Eger: Eszterházy Károly Főiskola, 2014. ISBN 978-615-5250-84-2</w:t>
            </w:r>
          </w:p>
          <w:p w:rsidR="00023DA4" w:rsidRPr="00B4120A" w:rsidRDefault="00023DA4" w:rsidP="009E11B6">
            <w:pPr>
              <w:rPr>
                <w:b/>
                <w:sz w:val="22"/>
                <w:szCs w:val="22"/>
                <w:lang w:eastAsia="en-US"/>
              </w:rPr>
            </w:pPr>
            <w:r w:rsidRPr="00B4120A">
              <w:rPr>
                <w:b/>
                <w:sz w:val="22"/>
                <w:szCs w:val="22"/>
                <w:lang w:eastAsia="en-US"/>
              </w:rPr>
              <w:t>Ajánlott irodalom:</w:t>
            </w:r>
          </w:p>
          <w:p w:rsidR="00023DA4" w:rsidRPr="00B4120A" w:rsidRDefault="00023DA4" w:rsidP="00023DA4">
            <w:pPr>
              <w:numPr>
                <w:ilvl w:val="0"/>
                <w:numId w:val="3"/>
              </w:numPr>
              <w:rPr>
                <w:sz w:val="22"/>
                <w:szCs w:val="22"/>
                <w:lang w:eastAsia="en-US"/>
              </w:rPr>
            </w:pPr>
            <w:r w:rsidRPr="00B4120A">
              <w:rPr>
                <w:sz w:val="22"/>
                <w:szCs w:val="22"/>
                <w:lang w:eastAsia="en-US"/>
              </w:rPr>
              <w:t xml:space="preserve">KETSKEMÉTI László – IZSÓ Lajos– KÖNYVES Tóth Előd: Bevezetés az IBM SPSS </w:t>
            </w:r>
            <w:proofErr w:type="spellStart"/>
            <w:r w:rsidRPr="00B4120A">
              <w:rPr>
                <w:sz w:val="22"/>
                <w:szCs w:val="22"/>
                <w:lang w:eastAsia="en-US"/>
              </w:rPr>
              <w:t>Statistics</w:t>
            </w:r>
            <w:proofErr w:type="spellEnd"/>
            <w:r w:rsidRPr="00B4120A">
              <w:rPr>
                <w:sz w:val="22"/>
                <w:szCs w:val="22"/>
                <w:lang w:eastAsia="en-US"/>
              </w:rPr>
              <w:t xml:space="preserve"> programrendszerbe. –Budapest: Artéria </w:t>
            </w:r>
            <w:proofErr w:type="spellStart"/>
            <w:r w:rsidRPr="00B4120A">
              <w:rPr>
                <w:sz w:val="22"/>
                <w:szCs w:val="22"/>
                <w:lang w:eastAsia="en-US"/>
              </w:rPr>
              <w:t>Studió</w:t>
            </w:r>
            <w:proofErr w:type="spellEnd"/>
            <w:r w:rsidRPr="00B4120A">
              <w:rPr>
                <w:sz w:val="22"/>
                <w:szCs w:val="22"/>
                <w:lang w:eastAsia="en-US"/>
              </w:rPr>
              <w:t>, 2011.</w:t>
            </w:r>
          </w:p>
          <w:p w:rsidR="00023DA4" w:rsidRPr="00B4120A" w:rsidRDefault="00023DA4" w:rsidP="00023DA4">
            <w:pPr>
              <w:numPr>
                <w:ilvl w:val="0"/>
                <w:numId w:val="3"/>
              </w:numPr>
              <w:rPr>
                <w:sz w:val="22"/>
                <w:szCs w:val="22"/>
                <w:lang w:eastAsia="en-US"/>
              </w:rPr>
            </w:pPr>
            <w:r w:rsidRPr="00B4120A">
              <w:rPr>
                <w:sz w:val="22"/>
                <w:szCs w:val="22"/>
                <w:lang w:eastAsia="en-US"/>
              </w:rPr>
              <w:t xml:space="preserve">JÁNOSA András: Adatelemzés SPSS használatával, Budapest: </w:t>
            </w:r>
            <w:proofErr w:type="spellStart"/>
            <w:r w:rsidRPr="00B4120A">
              <w:rPr>
                <w:sz w:val="22"/>
                <w:szCs w:val="22"/>
                <w:lang w:eastAsia="en-US"/>
              </w:rPr>
              <w:t>ComputerBooks</w:t>
            </w:r>
            <w:proofErr w:type="spellEnd"/>
            <w:r w:rsidRPr="00B4120A">
              <w:rPr>
                <w:sz w:val="22"/>
                <w:szCs w:val="22"/>
                <w:lang w:eastAsia="en-US"/>
              </w:rPr>
              <w:t xml:space="preserve">, 2011. </w:t>
            </w:r>
          </w:p>
          <w:p w:rsidR="00023DA4" w:rsidRPr="00B4120A" w:rsidRDefault="00023DA4" w:rsidP="00023DA4">
            <w:pPr>
              <w:numPr>
                <w:ilvl w:val="0"/>
                <w:numId w:val="3"/>
              </w:numPr>
              <w:rPr>
                <w:sz w:val="22"/>
                <w:szCs w:val="22"/>
              </w:rPr>
            </w:pPr>
            <w:r w:rsidRPr="00B4120A">
              <w:rPr>
                <w:sz w:val="22"/>
                <w:szCs w:val="22"/>
                <w:lang w:eastAsia="en-US"/>
              </w:rPr>
              <w:t>FALUS Iván és OLLÉ János</w:t>
            </w:r>
            <w:r w:rsidRPr="00B4120A">
              <w:rPr>
                <w:rStyle w:val="st"/>
                <w:sz w:val="22"/>
                <w:szCs w:val="22"/>
                <w:lang w:eastAsia="en-US"/>
              </w:rPr>
              <w:t xml:space="preserve">: </w:t>
            </w:r>
            <w:r w:rsidRPr="00B4120A">
              <w:rPr>
                <w:sz w:val="22"/>
                <w:szCs w:val="22"/>
                <w:lang w:eastAsia="en-US"/>
              </w:rPr>
              <w:t>Az empirikus kutatások gyakorlata. – Budapest: Nemzeti Tankönyvkiadó, 2008.</w:t>
            </w:r>
          </w:p>
          <w:p w:rsidR="00023DA4" w:rsidRPr="00B4120A" w:rsidRDefault="00023DA4" w:rsidP="00023DA4">
            <w:pPr>
              <w:numPr>
                <w:ilvl w:val="0"/>
                <w:numId w:val="3"/>
              </w:numPr>
              <w:rPr>
                <w:sz w:val="22"/>
                <w:szCs w:val="22"/>
              </w:rPr>
            </w:pPr>
            <w:r w:rsidRPr="00B4120A">
              <w:rPr>
                <w:sz w:val="22"/>
                <w:szCs w:val="22"/>
                <w:lang w:eastAsia="en-US"/>
              </w:rPr>
              <w:t>FALUS Iván és OLLÉ János: Statisztikai módszerek pedagógusok számára. –Budapest: Okker, 2000.</w:t>
            </w:r>
          </w:p>
        </w:tc>
      </w:tr>
      <w:tr w:rsidR="00023DA4" w:rsidRPr="00B4120A" w:rsidTr="009E11B6">
        <w:tc>
          <w:tcPr>
            <w:tcW w:w="9356"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rsidR="00023DA4" w:rsidRPr="00B4120A" w:rsidRDefault="00023DA4" w:rsidP="009E11B6">
            <w:pPr>
              <w:suppressAutoHyphens/>
              <w:jc w:val="both"/>
              <w:rPr>
                <w:sz w:val="22"/>
                <w:szCs w:val="22"/>
              </w:rPr>
            </w:pPr>
            <w:r w:rsidRPr="00B4120A">
              <w:rPr>
                <w:sz w:val="22"/>
                <w:szCs w:val="22"/>
              </w:rPr>
              <w:t xml:space="preserve">Azoknak az </w:t>
            </w:r>
            <w:r w:rsidRPr="00B4120A">
              <w:rPr>
                <w:b/>
                <w:sz w:val="22"/>
                <w:szCs w:val="22"/>
              </w:rPr>
              <w:t>előírt</w:t>
            </w:r>
            <w:r w:rsidRPr="00B4120A">
              <w:rPr>
                <w:sz w:val="22"/>
                <w:szCs w:val="22"/>
              </w:rPr>
              <w:t xml:space="preserve"> s</w:t>
            </w:r>
            <w:r w:rsidRPr="00B4120A">
              <w:rPr>
                <w:b/>
                <w:sz w:val="22"/>
                <w:szCs w:val="22"/>
              </w:rPr>
              <w:t>zakmai kompetenciáknak, kompetencia-elemeknek</w:t>
            </w:r>
            <w:r w:rsidRPr="00B4120A">
              <w:rPr>
                <w:sz w:val="22"/>
                <w:szCs w:val="22"/>
              </w:rPr>
              <w:t xml:space="preserve"> </w:t>
            </w:r>
            <w:r w:rsidRPr="00B4120A">
              <w:rPr>
                <w:i/>
                <w:sz w:val="22"/>
                <w:szCs w:val="22"/>
              </w:rPr>
              <w:t>(tudás, képesség</w:t>
            </w:r>
            <w:r w:rsidRPr="00B4120A">
              <w:rPr>
                <w:sz w:val="22"/>
                <w:szCs w:val="22"/>
              </w:rPr>
              <w:t xml:space="preserve"> stb., </w:t>
            </w:r>
            <w:r w:rsidRPr="00B4120A">
              <w:rPr>
                <w:i/>
                <w:sz w:val="22"/>
                <w:szCs w:val="22"/>
              </w:rPr>
              <w:t xml:space="preserve">KKK </w:t>
            </w:r>
            <w:r w:rsidRPr="00B4120A">
              <w:rPr>
                <w:b/>
                <w:i/>
                <w:sz w:val="22"/>
                <w:szCs w:val="22"/>
              </w:rPr>
              <w:t>7.</w:t>
            </w:r>
            <w:r w:rsidRPr="00B4120A">
              <w:rPr>
                <w:i/>
                <w:sz w:val="22"/>
                <w:szCs w:val="22"/>
              </w:rPr>
              <w:t xml:space="preserve"> pont</w:t>
            </w:r>
            <w:r w:rsidRPr="00B4120A">
              <w:rPr>
                <w:sz w:val="22"/>
                <w:szCs w:val="22"/>
              </w:rPr>
              <w:t xml:space="preserve">) a felsorolása, </w:t>
            </w:r>
            <w:r w:rsidRPr="00B4120A">
              <w:rPr>
                <w:b/>
                <w:sz w:val="22"/>
                <w:szCs w:val="22"/>
              </w:rPr>
              <w:t>amelyek kialakításához a tantárgy jellemzően, érdemben hozzájárul</w:t>
            </w:r>
          </w:p>
        </w:tc>
      </w:tr>
      <w:tr w:rsidR="00023DA4" w:rsidRPr="00B4120A" w:rsidTr="009E11B6">
        <w:trPr>
          <w:trHeight w:val="296"/>
        </w:trPr>
        <w:tc>
          <w:tcPr>
            <w:tcW w:w="9356"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023DA4" w:rsidRPr="00B4120A" w:rsidRDefault="00023DA4" w:rsidP="00023DA4">
            <w:pPr>
              <w:numPr>
                <w:ilvl w:val="0"/>
                <w:numId w:val="1"/>
              </w:numPr>
              <w:tabs>
                <w:tab w:val="left" w:pos="317"/>
              </w:tabs>
              <w:suppressAutoHyphens/>
              <w:rPr>
                <w:b/>
                <w:sz w:val="22"/>
                <w:szCs w:val="22"/>
              </w:rPr>
            </w:pPr>
            <w:r w:rsidRPr="00B4120A">
              <w:rPr>
                <w:b/>
                <w:sz w:val="22"/>
                <w:szCs w:val="22"/>
              </w:rPr>
              <w:t>tudása</w:t>
            </w:r>
          </w:p>
          <w:p w:rsidR="00023DA4" w:rsidRDefault="00023DA4" w:rsidP="00023DA4">
            <w:pPr>
              <w:numPr>
                <w:ilvl w:val="0"/>
                <w:numId w:val="4"/>
              </w:numPr>
              <w:jc w:val="both"/>
              <w:rPr>
                <w:sz w:val="22"/>
                <w:szCs w:val="22"/>
              </w:rPr>
            </w:pPr>
            <w:r w:rsidRPr="00B4120A">
              <w:rPr>
                <w:sz w:val="22"/>
                <w:szCs w:val="22"/>
                <w:lang w:eastAsia="ar-SA"/>
              </w:rPr>
              <w:t>Tájékozott a szakterületein alkalmazható alapvető digitális eszközök alkalmazhatóságában, ismeri szakterületén/szakterületein a tanulói képességekhez illeszthető digitális tanulási, fejlesztési lehetőségeket, eszközöket, környezeteket.</w:t>
            </w:r>
          </w:p>
          <w:p w:rsidR="00023DA4" w:rsidRDefault="00023DA4" w:rsidP="00023DA4">
            <w:pPr>
              <w:numPr>
                <w:ilvl w:val="0"/>
                <w:numId w:val="4"/>
              </w:numPr>
              <w:jc w:val="both"/>
              <w:rPr>
                <w:sz w:val="22"/>
                <w:szCs w:val="22"/>
              </w:rPr>
            </w:pPr>
            <w:r w:rsidRPr="00B4120A">
              <w:rPr>
                <w:sz w:val="22"/>
                <w:szCs w:val="22"/>
                <w:lang w:eastAsia="ar-SA"/>
              </w:rPr>
              <w:t>Érti az értékelés és fejlődés összefüggéseit, ismeri az értékelés funkcióit, folyamatát, módszereit, eszközeit, rendelkezik a differenciált értékelési formák megválasztásához szükséges tudással</w:t>
            </w:r>
          </w:p>
          <w:p w:rsidR="00023DA4" w:rsidRPr="00512059" w:rsidRDefault="00023DA4" w:rsidP="00023DA4">
            <w:pPr>
              <w:numPr>
                <w:ilvl w:val="0"/>
                <w:numId w:val="4"/>
              </w:numPr>
              <w:jc w:val="both"/>
              <w:rPr>
                <w:sz w:val="22"/>
                <w:szCs w:val="22"/>
              </w:rPr>
            </w:pPr>
            <w:r>
              <w:rPr>
                <w:sz w:val="22"/>
                <w:szCs w:val="22"/>
              </w:rPr>
              <w:t>I</w:t>
            </w:r>
            <w:r w:rsidRPr="00DC1887">
              <w:rPr>
                <w:sz w:val="22"/>
                <w:szCs w:val="22"/>
              </w:rPr>
              <w:t>smeri és értelmezi a matematikai statisztikai mutatókat: a hipotézisvizsgálatokat, a statiszti</w:t>
            </w:r>
            <w:r>
              <w:rPr>
                <w:sz w:val="22"/>
                <w:szCs w:val="22"/>
              </w:rPr>
              <w:t xml:space="preserve">kai </w:t>
            </w:r>
            <w:r w:rsidRPr="00DC1887">
              <w:rPr>
                <w:sz w:val="22"/>
                <w:szCs w:val="22"/>
              </w:rPr>
              <w:t>próbákat, a ko</w:t>
            </w:r>
            <w:r>
              <w:rPr>
                <w:sz w:val="22"/>
                <w:szCs w:val="22"/>
              </w:rPr>
              <w:t xml:space="preserve">rreláció- és regresszióelemzést, </w:t>
            </w:r>
            <w:r w:rsidRPr="00512059">
              <w:rPr>
                <w:sz w:val="22"/>
                <w:szCs w:val="22"/>
              </w:rPr>
              <w:t xml:space="preserve">a statisztikai mutatók </w:t>
            </w:r>
            <w:r w:rsidRPr="00512059">
              <w:rPr>
                <w:sz w:val="22"/>
                <w:szCs w:val="22"/>
              </w:rPr>
              <w:lastRenderedPageBreak/>
              <w:t>számítógépes feldolgozására szolgáló lehetőségeket.</w:t>
            </w:r>
          </w:p>
          <w:p w:rsidR="00023DA4" w:rsidRPr="00B4120A" w:rsidRDefault="00023DA4" w:rsidP="00023DA4">
            <w:pPr>
              <w:numPr>
                <w:ilvl w:val="0"/>
                <w:numId w:val="1"/>
              </w:numPr>
              <w:tabs>
                <w:tab w:val="left" w:pos="317"/>
              </w:tabs>
              <w:suppressAutoHyphens/>
              <w:rPr>
                <w:b/>
                <w:sz w:val="22"/>
                <w:szCs w:val="22"/>
              </w:rPr>
            </w:pPr>
            <w:r w:rsidRPr="00B4120A">
              <w:rPr>
                <w:b/>
                <w:sz w:val="22"/>
                <w:szCs w:val="22"/>
              </w:rPr>
              <w:t>képességei</w:t>
            </w:r>
          </w:p>
          <w:p w:rsidR="00023DA4" w:rsidRPr="00512059" w:rsidRDefault="00023DA4" w:rsidP="00023DA4">
            <w:pPr>
              <w:pStyle w:val="Listaszerbekezds"/>
              <w:numPr>
                <w:ilvl w:val="0"/>
                <w:numId w:val="5"/>
              </w:numPr>
              <w:tabs>
                <w:tab w:val="left" w:pos="317"/>
              </w:tabs>
              <w:suppressAutoHyphens/>
              <w:rPr>
                <w:sz w:val="22"/>
                <w:szCs w:val="22"/>
              </w:rPr>
            </w:pPr>
            <w:r w:rsidRPr="00B4120A">
              <w:rPr>
                <w:sz w:val="22"/>
                <w:szCs w:val="22"/>
                <w:lang w:eastAsia="ar-SA"/>
              </w:rPr>
              <w:t>Képes a gyógypedagógiai diagnosztika digitális e</w:t>
            </w:r>
            <w:r>
              <w:rPr>
                <w:sz w:val="22"/>
                <w:szCs w:val="22"/>
                <w:lang w:eastAsia="ar-SA"/>
              </w:rPr>
              <w:t xml:space="preserve">szközrendszerének megismerésére, </w:t>
            </w:r>
            <w:r w:rsidRPr="00B4120A">
              <w:rPr>
                <w:sz w:val="22"/>
                <w:szCs w:val="22"/>
              </w:rPr>
              <w:t>képessé válnak az adatok feldolgozásának tervezésére és az eredmények értelmezésére</w:t>
            </w:r>
            <w:r>
              <w:rPr>
                <w:sz w:val="22"/>
                <w:szCs w:val="22"/>
              </w:rPr>
              <w:t xml:space="preserve">, </w:t>
            </w:r>
            <w:r w:rsidRPr="00512059">
              <w:rPr>
                <w:sz w:val="22"/>
                <w:szCs w:val="22"/>
              </w:rPr>
              <w:t xml:space="preserve">képesek egy számítógépes statisztikai program alkalmazására, a mérési eredmények </w:t>
            </w:r>
            <w:r>
              <w:rPr>
                <w:sz w:val="22"/>
                <w:szCs w:val="22"/>
              </w:rPr>
              <w:t>számítógépen történő elemzésére.</w:t>
            </w:r>
          </w:p>
          <w:p w:rsidR="00023DA4" w:rsidRPr="00B4120A" w:rsidRDefault="00023DA4" w:rsidP="00023DA4">
            <w:pPr>
              <w:pStyle w:val="Listaszerbekezds"/>
              <w:numPr>
                <w:ilvl w:val="0"/>
                <w:numId w:val="5"/>
              </w:numPr>
              <w:tabs>
                <w:tab w:val="left" w:pos="317"/>
              </w:tabs>
              <w:suppressAutoHyphens/>
              <w:rPr>
                <w:sz w:val="22"/>
                <w:szCs w:val="22"/>
              </w:rPr>
            </w:pPr>
            <w:r w:rsidRPr="00B4120A">
              <w:rPr>
                <w:sz w:val="22"/>
                <w:szCs w:val="22"/>
              </w:rPr>
              <w:t>képesek adatokat gyűjteni egy adott tanulócsoportból és a feldolgozás után értelmezni a kapott eredményeket;</w:t>
            </w:r>
          </w:p>
          <w:p w:rsidR="00023DA4" w:rsidRDefault="00023DA4" w:rsidP="00023DA4">
            <w:pPr>
              <w:pStyle w:val="Listaszerbekezds"/>
              <w:numPr>
                <w:ilvl w:val="0"/>
                <w:numId w:val="5"/>
              </w:numPr>
              <w:tabs>
                <w:tab w:val="left" w:pos="317"/>
              </w:tabs>
              <w:suppressAutoHyphens/>
              <w:rPr>
                <w:sz w:val="22"/>
                <w:szCs w:val="22"/>
              </w:rPr>
            </w:pPr>
            <w:r w:rsidRPr="00B4120A">
              <w:rPr>
                <w:sz w:val="22"/>
                <w:szCs w:val="22"/>
                <w:lang w:eastAsia="ar-SA"/>
              </w:rPr>
              <w:t xml:space="preserve">Képes a </w:t>
            </w:r>
            <w:proofErr w:type="gramStart"/>
            <w:r w:rsidRPr="00B4120A">
              <w:rPr>
                <w:sz w:val="22"/>
                <w:szCs w:val="22"/>
                <w:lang w:eastAsia="ar-SA"/>
              </w:rPr>
              <w:t>társadalom változó</w:t>
            </w:r>
            <w:proofErr w:type="gramEnd"/>
            <w:r w:rsidRPr="00B4120A">
              <w:rPr>
                <w:sz w:val="22"/>
                <w:szCs w:val="22"/>
                <w:lang w:eastAsia="ar-SA"/>
              </w:rPr>
              <w:t xml:space="preserve"> digitális környezeti kihívásainak megismerésére, pedagógiai, gyógypedagógiai szempontú értelmezésére, értékelésére, a szakterületein mindezeknek a tanítási-tanulási, fejlesztési, habilitációs, rehabilitációs folyamat során produktív, gyakorlatias, a gyermekek/fiatalok/felnőttek képességeit figyelembe vevő implementálására</w:t>
            </w:r>
            <w:r>
              <w:rPr>
                <w:sz w:val="22"/>
                <w:szCs w:val="22"/>
                <w:lang w:eastAsia="ar-SA"/>
              </w:rPr>
              <w:t>.</w:t>
            </w:r>
          </w:p>
          <w:p w:rsidR="00023DA4" w:rsidRDefault="00023DA4" w:rsidP="00023DA4">
            <w:pPr>
              <w:pStyle w:val="Listaszerbekezds"/>
              <w:numPr>
                <w:ilvl w:val="0"/>
                <w:numId w:val="5"/>
              </w:numPr>
              <w:tabs>
                <w:tab w:val="left" w:pos="317"/>
              </w:tabs>
              <w:suppressAutoHyphens/>
              <w:rPr>
                <w:sz w:val="22"/>
                <w:szCs w:val="22"/>
              </w:rPr>
            </w:pPr>
            <w:r>
              <w:rPr>
                <w:sz w:val="22"/>
                <w:szCs w:val="22"/>
              </w:rPr>
              <w:t>K</w:t>
            </w:r>
            <w:r w:rsidRPr="00B4120A">
              <w:rPr>
                <w:sz w:val="22"/>
                <w:szCs w:val="22"/>
              </w:rPr>
              <w:t>épesek a nyomtatott és elektronikus források, jelek, szövegek, adatsorok, diagramok megértésére és értelmezésére</w:t>
            </w:r>
          </w:p>
          <w:p w:rsidR="00023DA4" w:rsidRPr="00B4120A" w:rsidRDefault="00023DA4" w:rsidP="00023DA4">
            <w:pPr>
              <w:pStyle w:val="Listaszerbekezds"/>
              <w:numPr>
                <w:ilvl w:val="0"/>
                <w:numId w:val="5"/>
              </w:numPr>
              <w:tabs>
                <w:tab w:val="left" w:pos="317"/>
              </w:tabs>
              <w:suppressAutoHyphens/>
              <w:rPr>
                <w:sz w:val="22"/>
                <w:szCs w:val="22"/>
              </w:rPr>
            </w:pPr>
            <w:r w:rsidRPr="00B4120A">
              <w:rPr>
                <w:sz w:val="22"/>
                <w:szCs w:val="22"/>
                <w:lang w:eastAsia="ar-SA"/>
              </w:rPr>
              <w:t>Alapvető kutatásmódszertani ismereteit az adott fogyatékossági csoportnak megfelelően adaptív módon alkalmazza, felismeri, hogy az adott fogyatékossági csoportnak és kutatási témának megfelelően milyen kutatási módszert célszerű alkalmazni. Lehetőség szerint inkluzív kutatásmódszertani eljárásokra törekszik.</w:t>
            </w:r>
          </w:p>
          <w:p w:rsidR="00023DA4" w:rsidRPr="00B4120A" w:rsidRDefault="00023DA4" w:rsidP="00023DA4">
            <w:pPr>
              <w:pStyle w:val="Listaszerbekezds"/>
              <w:numPr>
                <w:ilvl w:val="0"/>
                <w:numId w:val="1"/>
              </w:numPr>
              <w:suppressAutoHyphens/>
              <w:rPr>
                <w:b/>
                <w:sz w:val="22"/>
                <w:szCs w:val="22"/>
              </w:rPr>
            </w:pPr>
            <w:r w:rsidRPr="00B4120A">
              <w:rPr>
                <w:b/>
                <w:sz w:val="22"/>
                <w:szCs w:val="22"/>
              </w:rPr>
              <w:t>attitűdje</w:t>
            </w:r>
          </w:p>
          <w:p w:rsidR="00023DA4" w:rsidRDefault="00023DA4" w:rsidP="00023DA4">
            <w:pPr>
              <w:pStyle w:val="Listaszerbekezds"/>
              <w:numPr>
                <w:ilvl w:val="0"/>
                <w:numId w:val="6"/>
              </w:numPr>
              <w:tabs>
                <w:tab w:val="left" w:pos="317"/>
              </w:tabs>
              <w:suppressAutoHyphens/>
              <w:rPr>
                <w:sz w:val="22"/>
                <w:szCs w:val="22"/>
              </w:rPr>
            </w:pPr>
            <w:r w:rsidRPr="00B4120A">
              <w:rPr>
                <w:sz w:val="22"/>
                <w:szCs w:val="22"/>
              </w:rPr>
              <w:t>Mérlegeli a szakmai problémák sokoldalú módszertani megközelítésének lehetőségeit. A mindennapi gyógypedagógiai fejlesztő munka, a gyógypedagógiai kutatások, az innovatív tevékenységek során nyitott a team-munkára</w:t>
            </w:r>
          </w:p>
          <w:p w:rsidR="00023DA4" w:rsidRDefault="00023DA4" w:rsidP="00023DA4">
            <w:pPr>
              <w:pStyle w:val="Listaszerbekezds"/>
              <w:numPr>
                <w:ilvl w:val="0"/>
                <w:numId w:val="6"/>
              </w:numPr>
              <w:tabs>
                <w:tab w:val="left" w:pos="317"/>
              </w:tabs>
              <w:suppressAutoHyphens/>
              <w:rPr>
                <w:sz w:val="22"/>
                <w:szCs w:val="22"/>
              </w:rPr>
            </w:pPr>
            <w:r w:rsidRPr="00B4120A">
              <w:rPr>
                <w:sz w:val="22"/>
                <w:szCs w:val="22"/>
              </w:rPr>
              <w:t xml:space="preserve">Igénye van a gyógypedagógiai folyamatok folyamatos elemzésére-értékelésére, nyitott az eredmények és a körülmények figyelembe vételével a tervek és folyamatok felülvizsgálatára és módosítására </w:t>
            </w:r>
          </w:p>
          <w:p w:rsidR="00023DA4" w:rsidRDefault="00023DA4" w:rsidP="00023DA4">
            <w:pPr>
              <w:pStyle w:val="Listaszerbekezds"/>
              <w:numPr>
                <w:ilvl w:val="0"/>
                <w:numId w:val="6"/>
              </w:numPr>
              <w:tabs>
                <w:tab w:val="left" w:pos="317"/>
              </w:tabs>
              <w:suppressAutoHyphens/>
              <w:rPr>
                <w:sz w:val="22"/>
                <w:szCs w:val="22"/>
              </w:rPr>
            </w:pPr>
            <w:r w:rsidRPr="00B4120A">
              <w:rPr>
                <w:sz w:val="22"/>
                <w:szCs w:val="22"/>
              </w:rPr>
              <w:t>Nyitott a digitális technológiák, infokommunikációs eszközök és a hozzájuk kapcsolódó módszertani eljárások megismerésére.</w:t>
            </w:r>
          </w:p>
          <w:p w:rsidR="00023DA4" w:rsidRDefault="00023DA4" w:rsidP="00023DA4">
            <w:pPr>
              <w:pStyle w:val="Listaszerbekezds"/>
              <w:numPr>
                <w:ilvl w:val="0"/>
                <w:numId w:val="6"/>
              </w:numPr>
              <w:tabs>
                <w:tab w:val="left" w:pos="317"/>
              </w:tabs>
              <w:suppressAutoHyphens/>
              <w:rPr>
                <w:sz w:val="22"/>
                <w:szCs w:val="22"/>
              </w:rPr>
            </w:pPr>
            <w:r w:rsidRPr="00B4120A">
              <w:rPr>
                <w:sz w:val="22"/>
                <w:szCs w:val="22"/>
              </w:rPr>
              <w:t>Elkötelezett a fogyatékos személyek fejlődését segítő, pozitívumokra fókuszáló, tanulást, fejlődést támogató értékelés mellett.</w:t>
            </w:r>
          </w:p>
          <w:p w:rsidR="00023DA4" w:rsidRPr="00B4120A" w:rsidRDefault="00023DA4" w:rsidP="00023DA4">
            <w:pPr>
              <w:pStyle w:val="Listaszerbekezds"/>
              <w:numPr>
                <w:ilvl w:val="0"/>
                <w:numId w:val="6"/>
              </w:numPr>
              <w:tabs>
                <w:tab w:val="left" w:pos="317"/>
              </w:tabs>
              <w:suppressAutoHyphens/>
              <w:rPr>
                <w:sz w:val="22"/>
                <w:szCs w:val="22"/>
              </w:rPr>
            </w:pPr>
            <w:r w:rsidRPr="00B4120A">
              <w:rPr>
                <w:sz w:val="22"/>
                <w:szCs w:val="22"/>
              </w:rPr>
              <w:t>A matematikai statisztikán alapuló mérés értékelés ismerete és tisztelete birtokában saját értelmezés kialakítása.</w:t>
            </w:r>
          </w:p>
          <w:p w:rsidR="00023DA4" w:rsidRPr="00B4120A" w:rsidRDefault="00023DA4" w:rsidP="00023DA4">
            <w:pPr>
              <w:pStyle w:val="Listaszerbekezds"/>
              <w:numPr>
                <w:ilvl w:val="0"/>
                <w:numId w:val="6"/>
              </w:numPr>
              <w:tabs>
                <w:tab w:val="left" w:pos="317"/>
              </w:tabs>
              <w:suppressAutoHyphens/>
              <w:rPr>
                <w:sz w:val="22"/>
                <w:szCs w:val="22"/>
              </w:rPr>
            </w:pPr>
            <w:r w:rsidRPr="00B4120A">
              <w:rPr>
                <w:sz w:val="22"/>
                <w:szCs w:val="22"/>
              </w:rPr>
              <w:t xml:space="preserve">Nyitott az új kutatási eredményekre </w:t>
            </w:r>
          </w:p>
          <w:p w:rsidR="00023DA4" w:rsidRPr="00B4120A" w:rsidRDefault="00023DA4" w:rsidP="00023DA4">
            <w:pPr>
              <w:pStyle w:val="Listaszerbekezds"/>
              <w:numPr>
                <w:ilvl w:val="0"/>
                <w:numId w:val="1"/>
              </w:numPr>
              <w:suppressAutoHyphens/>
              <w:rPr>
                <w:b/>
                <w:sz w:val="22"/>
                <w:szCs w:val="22"/>
              </w:rPr>
            </w:pPr>
            <w:r w:rsidRPr="00B4120A">
              <w:rPr>
                <w:b/>
                <w:sz w:val="22"/>
                <w:szCs w:val="22"/>
              </w:rPr>
              <w:t xml:space="preserve">autonómiája és felelőssége </w:t>
            </w:r>
          </w:p>
          <w:p w:rsidR="00023DA4" w:rsidRDefault="00023DA4" w:rsidP="00023DA4">
            <w:pPr>
              <w:pStyle w:val="Listaszerbekezds"/>
              <w:numPr>
                <w:ilvl w:val="0"/>
                <w:numId w:val="7"/>
              </w:numPr>
              <w:tabs>
                <w:tab w:val="left" w:pos="317"/>
              </w:tabs>
              <w:suppressAutoHyphens/>
              <w:rPr>
                <w:sz w:val="22"/>
                <w:szCs w:val="22"/>
              </w:rPr>
            </w:pPr>
            <w:r w:rsidRPr="00B4120A">
              <w:rPr>
                <w:sz w:val="22"/>
                <w:szCs w:val="22"/>
              </w:rPr>
              <w:t>Felelősséget vállal a fogyatékos személyekért, a gyógypedagógiai folyamatok, tevékenységek tervezése során hozott döntéseiért és gyógypedagógiai tevékenységének következményeiért.</w:t>
            </w:r>
          </w:p>
          <w:p w:rsidR="00023DA4" w:rsidRPr="00B4120A" w:rsidRDefault="00023DA4" w:rsidP="00023DA4">
            <w:pPr>
              <w:pStyle w:val="Listaszerbekezds"/>
              <w:numPr>
                <w:ilvl w:val="0"/>
                <w:numId w:val="7"/>
              </w:numPr>
              <w:tabs>
                <w:tab w:val="left" w:pos="317"/>
              </w:tabs>
              <w:suppressAutoHyphens/>
              <w:rPr>
                <w:sz w:val="22"/>
                <w:szCs w:val="22"/>
              </w:rPr>
            </w:pPr>
            <w:r w:rsidRPr="00B4120A">
              <w:rPr>
                <w:sz w:val="22"/>
                <w:szCs w:val="22"/>
              </w:rPr>
              <w:t>Képes önállóan minőségi következtetéseket megfogalmazni egy kutatás eredményeire alapozva</w:t>
            </w:r>
          </w:p>
          <w:p w:rsidR="00023DA4" w:rsidRPr="00B4120A" w:rsidRDefault="00023DA4" w:rsidP="00023DA4">
            <w:pPr>
              <w:pStyle w:val="Listaszerbekezds"/>
              <w:numPr>
                <w:ilvl w:val="0"/>
                <w:numId w:val="7"/>
              </w:numPr>
              <w:tabs>
                <w:tab w:val="left" w:pos="317"/>
              </w:tabs>
              <w:suppressAutoHyphens/>
              <w:rPr>
                <w:sz w:val="22"/>
                <w:szCs w:val="22"/>
              </w:rPr>
            </w:pPr>
            <w:r w:rsidRPr="00B4120A">
              <w:rPr>
                <w:sz w:val="22"/>
                <w:szCs w:val="22"/>
              </w:rPr>
              <w:t>Tudatában a kutatási eredmények megbízhatósági követelményével</w:t>
            </w:r>
          </w:p>
        </w:tc>
      </w:tr>
      <w:tr w:rsidR="00023DA4" w:rsidRPr="00B4120A" w:rsidTr="009E11B6">
        <w:trPr>
          <w:trHeight w:val="338"/>
        </w:trPr>
        <w:tc>
          <w:tcPr>
            <w:tcW w:w="9356" w:type="dxa"/>
            <w:gridSpan w:val="2"/>
            <w:shd w:val="clear" w:color="auto" w:fill="auto"/>
            <w:tcMar>
              <w:top w:w="57" w:type="dxa"/>
              <w:bottom w:w="57" w:type="dxa"/>
            </w:tcMar>
          </w:tcPr>
          <w:p w:rsidR="00023DA4" w:rsidRPr="00B4120A" w:rsidRDefault="00023DA4" w:rsidP="009E11B6">
            <w:pPr>
              <w:suppressAutoHyphens/>
              <w:spacing w:before="60"/>
              <w:jc w:val="both"/>
              <w:rPr>
                <w:b/>
                <w:sz w:val="22"/>
                <w:szCs w:val="22"/>
              </w:rPr>
            </w:pPr>
            <w:r w:rsidRPr="00B4120A">
              <w:rPr>
                <w:b/>
                <w:sz w:val="22"/>
                <w:szCs w:val="22"/>
              </w:rPr>
              <w:lastRenderedPageBreak/>
              <w:t xml:space="preserve">Tantárgy felelőse: Lengyelné dr. Molnár Tünde, főiskolai docens, </w:t>
            </w:r>
            <w:proofErr w:type="spellStart"/>
            <w:r w:rsidRPr="00B4120A">
              <w:rPr>
                <w:b/>
                <w:sz w:val="22"/>
                <w:szCs w:val="22"/>
              </w:rPr>
              <w:t>Ph</w:t>
            </w:r>
            <w:proofErr w:type="gramStart"/>
            <w:r w:rsidRPr="00B4120A">
              <w:rPr>
                <w:b/>
                <w:sz w:val="22"/>
                <w:szCs w:val="22"/>
              </w:rPr>
              <w:t>.D</w:t>
            </w:r>
            <w:proofErr w:type="spellEnd"/>
            <w:r w:rsidRPr="00B4120A">
              <w:rPr>
                <w:b/>
                <w:sz w:val="22"/>
                <w:szCs w:val="22"/>
              </w:rPr>
              <w:t>.</w:t>
            </w:r>
            <w:proofErr w:type="gramEnd"/>
          </w:p>
        </w:tc>
      </w:tr>
      <w:tr w:rsidR="00023DA4" w:rsidRPr="00B4120A" w:rsidTr="009E11B6">
        <w:trPr>
          <w:trHeight w:val="337"/>
        </w:trPr>
        <w:tc>
          <w:tcPr>
            <w:tcW w:w="9356" w:type="dxa"/>
            <w:gridSpan w:val="2"/>
            <w:shd w:val="clear" w:color="auto" w:fill="auto"/>
            <w:tcMar>
              <w:top w:w="57" w:type="dxa"/>
              <w:bottom w:w="57" w:type="dxa"/>
            </w:tcMar>
          </w:tcPr>
          <w:p w:rsidR="00023DA4" w:rsidRPr="00B4120A" w:rsidRDefault="00023DA4" w:rsidP="009E11B6">
            <w:pPr>
              <w:suppressAutoHyphens/>
              <w:spacing w:before="60"/>
              <w:jc w:val="both"/>
              <w:rPr>
                <w:b/>
                <w:sz w:val="22"/>
                <w:szCs w:val="22"/>
              </w:rPr>
            </w:pPr>
            <w:r w:rsidRPr="00B4120A">
              <w:rPr>
                <w:b/>
                <w:sz w:val="22"/>
                <w:szCs w:val="22"/>
              </w:rPr>
              <w:t xml:space="preserve">Tantárgy oktatásába bevont oktató: </w:t>
            </w:r>
            <w:r w:rsidRPr="00034811">
              <w:rPr>
                <w:sz w:val="22"/>
                <w:szCs w:val="22"/>
              </w:rPr>
              <w:t xml:space="preserve">Dr. </w:t>
            </w:r>
            <w:r w:rsidRPr="00B4120A">
              <w:rPr>
                <w:sz w:val="22"/>
                <w:szCs w:val="22"/>
              </w:rPr>
              <w:t xml:space="preserve">Racsko Réka, tanársegéd, </w:t>
            </w:r>
            <w:proofErr w:type="spellStart"/>
            <w:r w:rsidRPr="00B4120A">
              <w:rPr>
                <w:sz w:val="22"/>
                <w:szCs w:val="22"/>
              </w:rPr>
              <w:t>Ph</w:t>
            </w:r>
            <w:proofErr w:type="gramStart"/>
            <w:r w:rsidRPr="00B4120A">
              <w:rPr>
                <w:sz w:val="22"/>
                <w:szCs w:val="22"/>
              </w:rPr>
              <w:t>.D</w:t>
            </w:r>
            <w:proofErr w:type="spellEnd"/>
            <w:r w:rsidRPr="00B4120A">
              <w:rPr>
                <w:sz w:val="22"/>
                <w:szCs w:val="22"/>
              </w:rPr>
              <w:t>.</w:t>
            </w:r>
            <w:proofErr w:type="gramEnd"/>
          </w:p>
        </w:tc>
      </w:tr>
    </w:tbl>
    <w:p w:rsidR="00DC1E9E" w:rsidRDefault="00DC1E9E"/>
    <w:sectPr w:rsidR="00DC1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54F87"/>
    <w:multiLevelType w:val="hybridMultilevel"/>
    <w:tmpl w:val="801651E4"/>
    <w:lvl w:ilvl="0" w:tplc="A0963FE0">
      <w:numFmt w:val="bullet"/>
      <w:lvlText w:val="-"/>
      <w:lvlJc w:val="left"/>
      <w:pPr>
        <w:ind w:left="677" w:hanging="360"/>
      </w:pPr>
      <w:rPr>
        <w:rFonts w:ascii="Times New Roman" w:eastAsia="Times New Roman" w:hAnsi="Times New Roman" w:cs="Times New Roman" w:hint="default"/>
      </w:rPr>
    </w:lvl>
    <w:lvl w:ilvl="1" w:tplc="040E0019" w:tentative="1">
      <w:start w:val="1"/>
      <w:numFmt w:val="lowerLetter"/>
      <w:lvlText w:val="%2."/>
      <w:lvlJc w:val="left"/>
      <w:pPr>
        <w:ind w:left="1397" w:hanging="360"/>
      </w:pPr>
    </w:lvl>
    <w:lvl w:ilvl="2" w:tplc="040E001B" w:tentative="1">
      <w:start w:val="1"/>
      <w:numFmt w:val="lowerRoman"/>
      <w:lvlText w:val="%3."/>
      <w:lvlJc w:val="right"/>
      <w:pPr>
        <w:ind w:left="2117" w:hanging="180"/>
      </w:pPr>
    </w:lvl>
    <w:lvl w:ilvl="3" w:tplc="040E000F" w:tentative="1">
      <w:start w:val="1"/>
      <w:numFmt w:val="decimal"/>
      <w:lvlText w:val="%4."/>
      <w:lvlJc w:val="left"/>
      <w:pPr>
        <w:ind w:left="2837" w:hanging="360"/>
      </w:pPr>
    </w:lvl>
    <w:lvl w:ilvl="4" w:tplc="040E0019" w:tentative="1">
      <w:start w:val="1"/>
      <w:numFmt w:val="lowerLetter"/>
      <w:lvlText w:val="%5."/>
      <w:lvlJc w:val="left"/>
      <w:pPr>
        <w:ind w:left="3557" w:hanging="360"/>
      </w:pPr>
    </w:lvl>
    <w:lvl w:ilvl="5" w:tplc="040E001B" w:tentative="1">
      <w:start w:val="1"/>
      <w:numFmt w:val="lowerRoman"/>
      <w:lvlText w:val="%6."/>
      <w:lvlJc w:val="right"/>
      <w:pPr>
        <w:ind w:left="4277" w:hanging="180"/>
      </w:pPr>
    </w:lvl>
    <w:lvl w:ilvl="6" w:tplc="040E000F" w:tentative="1">
      <w:start w:val="1"/>
      <w:numFmt w:val="decimal"/>
      <w:lvlText w:val="%7."/>
      <w:lvlJc w:val="left"/>
      <w:pPr>
        <w:ind w:left="4997" w:hanging="360"/>
      </w:pPr>
    </w:lvl>
    <w:lvl w:ilvl="7" w:tplc="040E0019" w:tentative="1">
      <w:start w:val="1"/>
      <w:numFmt w:val="lowerLetter"/>
      <w:lvlText w:val="%8."/>
      <w:lvlJc w:val="left"/>
      <w:pPr>
        <w:ind w:left="5717" w:hanging="360"/>
      </w:pPr>
    </w:lvl>
    <w:lvl w:ilvl="8" w:tplc="040E001B" w:tentative="1">
      <w:start w:val="1"/>
      <w:numFmt w:val="lowerRoman"/>
      <w:lvlText w:val="%9."/>
      <w:lvlJc w:val="right"/>
      <w:pPr>
        <w:ind w:left="6437" w:hanging="180"/>
      </w:pPr>
    </w:lvl>
  </w:abstractNum>
  <w:abstractNum w:abstractNumId="1" w15:restartNumberingAfterBreak="0">
    <w:nsid w:val="30877501"/>
    <w:multiLevelType w:val="hybridMultilevel"/>
    <w:tmpl w:val="FA90FB46"/>
    <w:lvl w:ilvl="0" w:tplc="A0963FE0">
      <w:numFmt w:val="bullet"/>
      <w:lvlText w:val="-"/>
      <w:lvlJc w:val="left"/>
      <w:pPr>
        <w:ind w:left="754" w:hanging="360"/>
      </w:pPr>
      <w:rPr>
        <w:rFonts w:ascii="Times New Roman" w:eastAsia="Times New Roman" w:hAnsi="Times New Roman" w:cs="Times New Roman" w:hint="default"/>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 w15:restartNumberingAfterBreak="0">
    <w:nsid w:val="4645158E"/>
    <w:multiLevelType w:val="hybridMultilevel"/>
    <w:tmpl w:val="36723A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87D28F2"/>
    <w:multiLevelType w:val="hybridMultilevel"/>
    <w:tmpl w:val="212E4A0C"/>
    <w:lvl w:ilvl="0" w:tplc="0DC00582">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7AE03C2"/>
    <w:multiLevelType w:val="hybridMultilevel"/>
    <w:tmpl w:val="9DFC6B24"/>
    <w:lvl w:ilvl="0" w:tplc="A0963FE0">
      <w:numFmt w:val="bullet"/>
      <w:lvlText w:val="-"/>
      <w:lvlJc w:val="left"/>
      <w:pPr>
        <w:ind w:left="677" w:hanging="360"/>
      </w:pPr>
      <w:rPr>
        <w:rFonts w:ascii="Times New Roman" w:eastAsia="Times New Roman" w:hAnsi="Times New Roman" w:cs="Times New Roman" w:hint="default"/>
      </w:rPr>
    </w:lvl>
    <w:lvl w:ilvl="1" w:tplc="040E0019" w:tentative="1">
      <w:start w:val="1"/>
      <w:numFmt w:val="lowerLetter"/>
      <w:lvlText w:val="%2."/>
      <w:lvlJc w:val="left"/>
      <w:pPr>
        <w:ind w:left="1397" w:hanging="360"/>
      </w:pPr>
    </w:lvl>
    <w:lvl w:ilvl="2" w:tplc="040E001B" w:tentative="1">
      <w:start w:val="1"/>
      <w:numFmt w:val="lowerRoman"/>
      <w:lvlText w:val="%3."/>
      <w:lvlJc w:val="right"/>
      <w:pPr>
        <w:ind w:left="2117" w:hanging="180"/>
      </w:pPr>
    </w:lvl>
    <w:lvl w:ilvl="3" w:tplc="040E000F" w:tentative="1">
      <w:start w:val="1"/>
      <w:numFmt w:val="decimal"/>
      <w:lvlText w:val="%4."/>
      <w:lvlJc w:val="left"/>
      <w:pPr>
        <w:ind w:left="2837" w:hanging="360"/>
      </w:pPr>
    </w:lvl>
    <w:lvl w:ilvl="4" w:tplc="040E0019" w:tentative="1">
      <w:start w:val="1"/>
      <w:numFmt w:val="lowerLetter"/>
      <w:lvlText w:val="%5."/>
      <w:lvlJc w:val="left"/>
      <w:pPr>
        <w:ind w:left="3557" w:hanging="360"/>
      </w:pPr>
    </w:lvl>
    <w:lvl w:ilvl="5" w:tplc="040E001B" w:tentative="1">
      <w:start w:val="1"/>
      <w:numFmt w:val="lowerRoman"/>
      <w:lvlText w:val="%6."/>
      <w:lvlJc w:val="right"/>
      <w:pPr>
        <w:ind w:left="4277" w:hanging="180"/>
      </w:pPr>
    </w:lvl>
    <w:lvl w:ilvl="6" w:tplc="040E000F" w:tentative="1">
      <w:start w:val="1"/>
      <w:numFmt w:val="decimal"/>
      <w:lvlText w:val="%7."/>
      <w:lvlJc w:val="left"/>
      <w:pPr>
        <w:ind w:left="4997" w:hanging="360"/>
      </w:pPr>
    </w:lvl>
    <w:lvl w:ilvl="7" w:tplc="040E0019" w:tentative="1">
      <w:start w:val="1"/>
      <w:numFmt w:val="lowerLetter"/>
      <w:lvlText w:val="%8."/>
      <w:lvlJc w:val="left"/>
      <w:pPr>
        <w:ind w:left="5717" w:hanging="360"/>
      </w:pPr>
    </w:lvl>
    <w:lvl w:ilvl="8" w:tplc="040E001B" w:tentative="1">
      <w:start w:val="1"/>
      <w:numFmt w:val="lowerRoman"/>
      <w:lvlText w:val="%9."/>
      <w:lvlJc w:val="right"/>
      <w:pPr>
        <w:ind w:left="6437" w:hanging="180"/>
      </w:pPr>
    </w:lvl>
  </w:abstractNum>
  <w:abstractNum w:abstractNumId="5" w15:restartNumberingAfterBreak="0">
    <w:nsid w:val="63BC60D0"/>
    <w:multiLevelType w:val="hybridMultilevel"/>
    <w:tmpl w:val="AD540BF8"/>
    <w:lvl w:ilvl="0" w:tplc="A0963FE0">
      <w:numFmt w:val="bullet"/>
      <w:lvlText w:val="-"/>
      <w:lvlJc w:val="left"/>
      <w:pPr>
        <w:ind w:left="677" w:hanging="360"/>
      </w:pPr>
      <w:rPr>
        <w:rFonts w:ascii="Times New Roman" w:eastAsia="Times New Roman" w:hAnsi="Times New Roman" w:cs="Times New Roman" w:hint="default"/>
      </w:rPr>
    </w:lvl>
    <w:lvl w:ilvl="1" w:tplc="040E0019" w:tentative="1">
      <w:start w:val="1"/>
      <w:numFmt w:val="lowerLetter"/>
      <w:lvlText w:val="%2."/>
      <w:lvlJc w:val="left"/>
      <w:pPr>
        <w:ind w:left="1397" w:hanging="360"/>
      </w:pPr>
    </w:lvl>
    <w:lvl w:ilvl="2" w:tplc="040E001B" w:tentative="1">
      <w:start w:val="1"/>
      <w:numFmt w:val="lowerRoman"/>
      <w:lvlText w:val="%3."/>
      <w:lvlJc w:val="right"/>
      <w:pPr>
        <w:ind w:left="2117" w:hanging="180"/>
      </w:pPr>
    </w:lvl>
    <w:lvl w:ilvl="3" w:tplc="040E000F" w:tentative="1">
      <w:start w:val="1"/>
      <w:numFmt w:val="decimal"/>
      <w:lvlText w:val="%4."/>
      <w:lvlJc w:val="left"/>
      <w:pPr>
        <w:ind w:left="2837" w:hanging="360"/>
      </w:pPr>
    </w:lvl>
    <w:lvl w:ilvl="4" w:tplc="040E0019" w:tentative="1">
      <w:start w:val="1"/>
      <w:numFmt w:val="lowerLetter"/>
      <w:lvlText w:val="%5."/>
      <w:lvlJc w:val="left"/>
      <w:pPr>
        <w:ind w:left="3557" w:hanging="360"/>
      </w:pPr>
    </w:lvl>
    <w:lvl w:ilvl="5" w:tplc="040E001B" w:tentative="1">
      <w:start w:val="1"/>
      <w:numFmt w:val="lowerRoman"/>
      <w:lvlText w:val="%6."/>
      <w:lvlJc w:val="right"/>
      <w:pPr>
        <w:ind w:left="4277" w:hanging="180"/>
      </w:pPr>
    </w:lvl>
    <w:lvl w:ilvl="6" w:tplc="040E000F" w:tentative="1">
      <w:start w:val="1"/>
      <w:numFmt w:val="decimal"/>
      <w:lvlText w:val="%7."/>
      <w:lvlJc w:val="left"/>
      <w:pPr>
        <w:ind w:left="4997" w:hanging="360"/>
      </w:pPr>
    </w:lvl>
    <w:lvl w:ilvl="7" w:tplc="040E0019" w:tentative="1">
      <w:start w:val="1"/>
      <w:numFmt w:val="lowerLetter"/>
      <w:lvlText w:val="%8."/>
      <w:lvlJc w:val="left"/>
      <w:pPr>
        <w:ind w:left="5717" w:hanging="360"/>
      </w:pPr>
    </w:lvl>
    <w:lvl w:ilvl="8" w:tplc="040E001B" w:tentative="1">
      <w:start w:val="1"/>
      <w:numFmt w:val="lowerRoman"/>
      <w:lvlText w:val="%9."/>
      <w:lvlJc w:val="right"/>
      <w:pPr>
        <w:ind w:left="6437" w:hanging="180"/>
      </w:pPr>
    </w:lvl>
  </w:abstractNum>
  <w:abstractNum w:abstractNumId="6" w15:restartNumberingAfterBreak="0">
    <w:nsid w:val="6F875547"/>
    <w:multiLevelType w:val="hybridMultilevel"/>
    <w:tmpl w:val="A7641A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A4"/>
    <w:rsid w:val="00023DA4"/>
    <w:rsid w:val="00034811"/>
    <w:rsid w:val="00163BEB"/>
    <w:rsid w:val="00700377"/>
    <w:rsid w:val="00AE6561"/>
    <w:rsid w:val="00DC1E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1821"/>
  <w15:docId w15:val="{6869DC34-4219-48C3-B8A1-6CC15BD5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23DA4"/>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1CharCharCharChar">
    <w:name w:val="Char Char1 Char Char Char Char"/>
    <w:basedOn w:val="Norml"/>
    <w:rsid w:val="00023DA4"/>
    <w:pPr>
      <w:spacing w:after="160" w:line="240" w:lineRule="exact"/>
    </w:pPr>
    <w:rPr>
      <w:rFonts w:ascii="Tahoma" w:hAnsi="Tahoma" w:cs="Tahoma"/>
      <w:lang w:val="en-US" w:eastAsia="en-US"/>
    </w:rPr>
  </w:style>
  <w:style w:type="paragraph" w:styleId="Listaszerbekezds">
    <w:name w:val="List Paragraph"/>
    <w:aliases w:val="lista_2,Listaszerű bekezdés1"/>
    <w:basedOn w:val="Norml"/>
    <w:link w:val="ListaszerbekezdsChar"/>
    <w:uiPriority w:val="34"/>
    <w:qFormat/>
    <w:rsid w:val="00023DA4"/>
    <w:pPr>
      <w:ind w:left="720"/>
      <w:contextualSpacing/>
    </w:pPr>
  </w:style>
  <w:style w:type="character" w:customStyle="1" w:styleId="ListaszerbekezdsChar">
    <w:name w:val="Listaszerű bekezdés Char"/>
    <w:aliases w:val="lista_2 Char,Listaszerű bekezdés1 Char"/>
    <w:link w:val="Listaszerbekezds"/>
    <w:uiPriority w:val="34"/>
    <w:rsid w:val="00023DA4"/>
    <w:rPr>
      <w:rFonts w:ascii="Times New Roman" w:eastAsia="Times New Roman" w:hAnsi="Times New Roman" w:cs="Times New Roman"/>
      <w:sz w:val="20"/>
      <w:szCs w:val="20"/>
      <w:lang w:eastAsia="hu-HU"/>
    </w:rPr>
  </w:style>
  <w:style w:type="character" w:customStyle="1" w:styleId="st">
    <w:name w:val="st"/>
    <w:rsid w:val="00023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4808</Characters>
  <Application>Microsoft Office Word</Application>
  <DocSecurity>0</DocSecurity>
  <Lines>40</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EKF</dc:creator>
  <cp:lastModifiedBy>Dávid Mária</cp:lastModifiedBy>
  <cp:revision>5</cp:revision>
  <dcterms:created xsi:type="dcterms:W3CDTF">2018-07-03T14:09:00Z</dcterms:created>
  <dcterms:modified xsi:type="dcterms:W3CDTF">2021-08-25T08:43:00Z</dcterms:modified>
</cp:coreProperties>
</file>