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19" w:rsidRPr="00B4120A" w:rsidRDefault="001F2619" w:rsidP="001F2619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2"/>
        <w:gridCol w:w="2686"/>
      </w:tblGrid>
      <w:tr w:rsidR="001F2619" w:rsidRPr="00B4120A" w:rsidTr="009E11B6"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pStyle w:val="Lbjegyzetszveg"/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B4120A">
              <w:rPr>
                <w:b/>
                <w:sz w:val="22"/>
                <w:szCs w:val="22"/>
              </w:rPr>
              <w:t>Erőszak a családban és az iskolában</w:t>
            </w:r>
            <w:r>
              <w:rPr>
                <w:b/>
                <w:sz w:val="22"/>
                <w:szCs w:val="22"/>
              </w:rPr>
              <w:t xml:space="preserve"> NBP_GP166K2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előadás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  <w:p w:rsidR="001F2619" w:rsidRPr="00B4120A" w:rsidRDefault="001F261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1F2619" w:rsidRPr="00B4120A" w:rsidRDefault="001F261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empirikus szociológia alapvető módszereinek gyakorlati megismerése és használata – kérdőívezés, interjútechnikák, statisztikák elemzése és értelmezése, szociometriai elemzések.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r w:rsidRPr="00B4120A">
              <w:rPr>
                <w:b/>
                <w:sz w:val="22"/>
                <w:szCs w:val="22"/>
              </w:rPr>
              <w:t>kollokvium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1F2619" w:rsidRPr="00B4120A" w:rsidRDefault="001F261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1F2619" w:rsidRPr="00B4120A" w:rsidRDefault="001F261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tematika közepén zárthelyi vizsga.  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5. félév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D01377" w:rsidP="009E11B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feltételek: </w:t>
            </w:r>
            <w:r w:rsidRPr="000F7A44">
              <w:rPr>
                <w:b/>
                <w:sz w:val="22"/>
                <w:szCs w:val="22"/>
              </w:rPr>
              <w:t>Érzelmi-és viselkedési zavarok pszichológiája NBP_GP159K3, Társadalmi beilleszkedési zavarok NBP_G</w:t>
            </w:r>
            <w:bookmarkStart w:id="0" w:name="_GoBack"/>
            <w:bookmarkEnd w:id="0"/>
            <w:r w:rsidRPr="000F7A44">
              <w:rPr>
                <w:b/>
                <w:sz w:val="22"/>
                <w:szCs w:val="22"/>
              </w:rPr>
              <w:t>P165K3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1F2619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Bevezetni a hallgatókat az erőszak különböző társas-társadalmi megnyilvánulásának formáiba. Különösen a családon belüli erőszak igen érzékeny és ezért sűrű tabuk által elfedett kérdés, melybe kívülről nagyon nehéz behatolni. A tantárgy ismerteti az erőszak különböző verbális, fizikai, pszichés és szexuális formáit és tárgyalja az érintettek eltérő szemszögeit. Hol vannak a családi és társadalmi nevelés határai, mi minősül pedagógiai eszköznek és mi erőszaknak? Hogyan tud egy </w:t>
            </w:r>
            <w:proofErr w:type="spellStart"/>
            <w:r>
              <w:rPr>
                <w:sz w:val="22"/>
                <w:szCs w:val="22"/>
              </w:rPr>
              <w:t>pszichopedagógus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szakember biztos képet alkotni arról, hogy mi zajlik egy család vagy egy intézmény belsejében és hol van az a pont, amikor be kell avatkozni? A beavatkozás milyen pszichológiai, jogi és intézményes eszközei állnak rendelkezésre? A családon belüli, ill. esetleges nevelő-diák közötti erőszak mellett kiemelt fontosságú a kortársak közötti intézményi (iskolai) erőszak kérdése is, melyet újabban a droghasználat körülményei tovább bonyolítanak. A tantárgy célja felkészíteni a hallgatókat az erőszak sokszor rejtett jelei iránti érzékenységre és a témakör tapintatos, de egyidejűleg határozott kezelésére. </w:t>
            </w:r>
          </w:p>
          <w:p w:rsidR="001F2619" w:rsidRPr="00B4120A" w:rsidRDefault="001F2619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Erőszak és hatalom: Az erőszak társadalmi megítélése a különböző társadalmi korokban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nevelés eszközei és korlátai: Létezik-e</w:t>
            </w:r>
            <w:r>
              <w:rPr>
                <w:sz w:val="22"/>
                <w:szCs w:val="22"/>
              </w:rPr>
              <w:t>,</w:t>
            </w:r>
            <w:r w:rsidRPr="00B4120A">
              <w:rPr>
                <w:sz w:val="22"/>
                <w:szCs w:val="22"/>
              </w:rPr>
              <w:t xml:space="preserve"> </w:t>
            </w:r>
            <w:proofErr w:type="gramStart"/>
            <w:r w:rsidRPr="00B4120A">
              <w:rPr>
                <w:sz w:val="22"/>
                <w:szCs w:val="22"/>
              </w:rPr>
              <w:t>erőszak-mentes nevelés</w:t>
            </w:r>
            <w:proofErr w:type="gramEnd"/>
            <w:r w:rsidRPr="00B4120A">
              <w:rPr>
                <w:sz w:val="22"/>
                <w:szCs w:val="22"/>
              </w:rPr>
              <w:t>?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Meghitt terror: A családi erőszak különböző formái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gyermekjólét intézményei és intervenciós lehetőségei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iskolai és egyéb nevelési intézményen belüli erőszak formái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Mobbing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pszichoterror</w:t>
            </w:r>
            <w:proofErr w:type="spellEnd"/>
            <w:r w:rsidRPr="00B4120A">
              <w:rPr>
                <w:sz w:val="22"/>
                <w:szCs w:val="22"/>
              </w:rPr>
              <w:t>, drogok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Nemzetközi kitekintés: Jó gyakorlatok világszerte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2619" w:rsidRPr="00B4120A" w:rsidRDefault="001F2619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F2619" w:rsidRPr="00B4120A" w:rsidRDefault="001F2619" w:rsidP="009E11B6">
            <w:pPr>
              <w:pStyle w:val="Szvegtrzs3"/>
              <w:spacing w:after="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1F2619" w:rsidRPr="00B4120A" w:rsidRDefault="001F2619" w:rsidP="001F2619">
            <w:pPr>
              <w:pStyle w:val="Szvegtrzs3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iCs/>
                <w:sz w:val="22"/>
                <w:szCs w:val="22"/>
              </w:rPr>
              <w:t>Ranschburg Jenő: A meghitt erőszak - A családon belüli erőszak lélektana.</w:t>
            </w:r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Saxum</w:t>
            </w:r>
            <w:proofErr w:type="spellEnd"/>
            <w:r w:rsidRPr="00B4120A">
              <w:rPr>
                <w:sz w:val="22"/>
                <w:szCs w:val="22"/>
              </w:rPr>
              <w:t xml:space="preserve"> Kiadó, 2006.</w:t>
            </w:r>
          </w:p>
          <w:p w:rsidR="001F2619" w:rsidRPr="00B4120A" w:rsidRDefault="001F2619" w:rsidP="001F2619">
            <w:pPr>
              <w:pStyle w:val="Szvegtrzs3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Herczog</w:t>
            </w:r>
            <w:proofErr w:type="spellEnd"/>
            <w:r w:rsidRPr="00B4120A">
              <w:rPr>
                <w:sz w:val="22"/>
                <w:szCs w:val="22"/>
              </w:rPr>
              <w:t xml:space="preserve"> Mária: Gyermekbántalmazás. </w:t>
            </w:r>
            <w:proofErr w:type="spellStart"/>
            <w:r w:rsidRPr="00B4120A">
              <w:rPr>
                <w:sz w:val="22"/>
                <w:szCs w:val="22"/>
              </w:rPr>
              <w:t>Complex</w:t>
            </w:r>
            <w:proofErr w:type="spellEnd"/>
            <w:r w:rsidRPr="00B4120A">
              <w:rPr>
                <w:sz w:val="22"/>
                <w:szCs w:val="22"/>
              </w:rPr>
              <w:t xml:space="preserve"> Kft. Budapest, 2007.</w:t>
            </w:r>
          </w:p>
          <w:p w:rsidR="001F2619" w:rsidRPr="00B4120A" w:rsidRDefault="001F2619" w:rsidP="001F2619">
            <w:pPr>
              <w:pStyle w:val="Szvegtrzs3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Virág György (szerk.): Családi iszonyok. A családi erőszak kriminológiai vizsgálata. KJK-</w:t>
            </w:r>
            <w:proofErr w:type="spellStart"/>
            <w:r w:rsidRPr="00B4120A">
              <w:rPr>
                <w:sz w:val="22"/>
                <w:szCs w:val="22"/>
              </w:rPr>
              <w:t>Kerszöv</w:t>
            </w:r>
            <w:proofErr w:type="spellEnd"/>
            <w:r w:rsidRPr="00B4120A">
              <w:rPr>
                <w:sz w:val="22"/>
                <w:szCs w:val="22"/>
              </w:rPr>
              <w:t>, Budapest, 2005.</w:t>
            </w:r>
          </w:p>
          <w:p w:rsidR="001F2619" w:rsidRPr="00B4120A" w:rsidRDefault="001F2619" w:rsidP="001F2619">
            <w:pPr>
              <w:pStyle w:val="Szvegtrzs3"/>
              <w:numPr>
                <w:ilvl w:val="0"/>
                <w:numId w:val="3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Buda Mariann, </w:t>
            </w:r>
            <w:proofErr w:type="spellStart"/>
            <w:r w:rsidRPr="00B4120A">
              <w:rPr>
                <w:sz w:val="22"/>
                <w:szCs w:val="22"/>
              </w:rPr>
              <w:t>Kőszeghy</w:t>
            </w:r>
            <w:proofErr w:type="spellEnd"/>
            <w:r w:rsidRPr="00B4120A">
              <w:rPr>
                <w:sz w:val="22"/>
                <w:szCs w:val="22"/>
              </w:rPr>
              <w:t xml:space="preserve"> Attila, Szirmai Erika: Az iskolai zaklatás.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2008</w:t>
            </w:r>
          </w:p>
          <w:p w:rsidR="001F2619" w:rsidRPr="00B4120A" w:rsidRDefault="001F2619" w:rsidP="001F2619">
            <w:pPr>
              <w:pStyle w:val="Szvegtrzs3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Dambach</w:t>
            </w:r>
            <w:proofErr w:type="spellEnd"/>
            <w:r w:rsidRPr="00B4120A">
              <w:rPr>
                <w:sz w:val="22"/>
                <w:szCs w:val="22"/>
              </w:rPr>
              <w:t xml:space="preserve"> Karl E: </w:t>
            </w:r>
            <w:proofErr w:type="spellStart"/>
            <w:r w:rsidRPr="00B4120A">
              <w:rPr>
                <w:sz w:val="22"/>
                <w:szCs w:val="22"/>
              </w:rPr>
              <w:t>Pszichoterror</w:t>
            </w:r>
            <w:proofErr w:type="spellEnd"/>
            <w:r w:rsidRPr="00B4120A">
              <w:rPr>
                <w:sz w:val="22"/>
                <w:szCs w:val="22"/>
              </w:rPr>
              <w:t xml:space="preserve"> az iskolában. Budapest, Akkord Kiadó 2001.</w:t>
            </w:r>
          </w:p>
          <w:p w:rsidR="001F2619" w:rsidRPr="00B4120A" w:rsidRDefault="001F2619" w:rsidP="009E11B6">
            <w:pPr>
              <w:pStyle w:val="Szvegtrzs3"/>
              <w:spacing w:after="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</w:t>
            </w:r>
          </w:p>
          <w:p w:rsidR="001F2619" w:rsidRPr="00B4120A" w:rsidRDefault="001F2619" w:rsidP="001F2619">
            <w:pPr>
              <w:pStyle w:val="Szvegtrzs3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Somlai Péter: Fórum. Erőszak a családban. In: Fundamentum 8, Budapest 2004. </w:t>
            </w:r>
          </w:p>
          <w:p w:rsidR="001F2619" w:rsidRPr="00B4120A" w:rsidRDefault="001F2619" w:rsidP="001F2619">
            <w:pPr>
              <w:pStyle w:val="Szvegtrzs3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Tóth Olga: Terror a családban. TÁRKI, Társadalompolitikai tanulmányok, Budapest, 1999.</w:t>
            </w:r>
          </w:p>
          <w:p w:rsidR="001F2619" w:rsidRPr="00B4120A" w:rsidRDefault="001F2619" w:rsidP="001F2619">
            <w:pPr>
              <w:pStyle w:val="Szvegtrzs3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lastRenderedPageBreak/>
              <w:t>Pilinszki</w:t>
            </w:r>
            <w:proofErr w:type="spellEnd"/>
            <w:r w:rsidRPr="00B4120A">
              <w:rPr>
                <w:sz w:val="22"/>
                <w:szCs w:val="22"/>
              </w:rPr>
              <w:t xml:space="preserve"> Attila, Szabó Tünde (szerk.): Családi és közösségi konfliktusok. SOTE Mentálhigiéniai Kar, Budapest, 2015. </w:t>
            </w:r>
          </w:p>
          <w:p w:rsidR="001F2619" w:rsidRPr="00B4120A" w:rsidRDefault="001F2619" w:rsidP="001F2619">
            <w:pPr>
              <w:pStyle w:val="Szvegtrzs3"/>
              <w:numPr>
                <w:ilvl w:val="0"/>
                <w:numId w:val="3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Karl E. </w:t>
            </w:r>
            <w:proofErr w:type="spellStart"/>
            <w:r w:rsidRPr="00B4120A">
              <w:rPr>
                <w:sz w:val="22"/>
                <w:szCs w:val="22"/>
              </w:rPr>
              <w:t>Dambach</w:t>
            </w:r>
            <w:proofErr w:type="spellEnd"/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</w:rPr>
              <w:t>Pszichoterror</w:t>
            </w:r>
            <w:proofErr w:type="spellEnd"/>
            <w:r w:rsidRPr="00B4120A">
              <w:rPr>
                <w:sz w:val="22"/>
                <w:szCs w:val="22"/>
              </w:rPr>
              <w:t xml:space="preserve"> (</w:t>
            </w:r>
            <w:proofErr w:type="spellStart"/>
            <w:r w:rsidRPr="00B4120A">
              <w:rPr>
                <w:sz w:val="22"/>
                <w:szCs w:val="22"/>
              </w:rPr>
              <w:t>mobbing</w:t>
            </w:r>
            <w:proofErr w:type="spellEnd"/>
            <w:r w:rsidRPr="00B4120A">
              <w:rPr>
                <w:sz w:val="22"/>
                <w:szCs w:val="22"/>
              </w:rPr>
              <w:t>) az iskolában. Akkord Kiadó, Budapest, 2001.</w:t>
            </w:r>
          </w:p>
        </w:tc>
      </w:tr>
      <w:tr w:rsidR="001F261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2619" w:rsidRPr="00B4120A" w:rsidRDefault="001F261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1F2619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F2619" w:rsidRPr="00B4120A" w:rsidRDefault="001F2619" w:rsidP="001F261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fogyatékossággal élő személyek, csoportok és környezetük megismerésére alkalmas felmérés, diagnosztika területeit, formális és informális eljárásait, és a diagnosztikán alapuló gyógypedagógiai tervezés különböző szintjeit, ezek összefüggéseit és szervezeti beágyazottságát.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Alapvető ismeretekkel rendelkezik a lelki egészség megőrzésének elméleti és gyakorlati módszereiről.</w:t>
            </w:r>
          </w:p>
          <w:p w:rsidR="001F2619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Érti a reflektív gondolkodás és sajátélményen alapuló mentálhigiénés támogatás jelentőségét tanulmányaiban és szakmai fejlődésében.</w:t>
            </w:r>
          </w:p>
          <w:p w:rsidR="001F2619" w:rsidRPr="00C21F74" w:rsidRDefault="001F2619" w:rsidP="001F2619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Ismeri a</w:t>
            </w:r>
            <w:r w:rsidRPr="00B4120A">
              <w:rPr>
                <w:sz w:val="22"/>
                <w:szCs w:val="22"/>
              </w:rPr>
              <w:t xml:space="preserve"> gyermekjólét intézményei</w:t>
            </w:r>
            <w:r>
              <w:rPr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 xml:space="preserve"> és intervenciós lehetőségei</w:t>
            </w:r>
            <w:r>
              <w:rPr>
                <w:sz w:val="22"/>
                <w:szCs w:val="22"/>
              </w:rPr>
              <w:t>t.</w:t>
            </w:r>
          </w:p>
          <w:p w:rsidR="001F2619" w:rsidRPr="00B4120A" w:rsidRDefault="001F2619" w:rsidP="009E11B6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Saját szakterületén belül képes értelmezni a fogyatékosságokkal kapcsolatos pszichológiai diagnózisokat és vizsgálati eredményeket.</w:t>
            </w:r>
          </w:p>
          <w:p w:rsidR="001F2619" w:rsidRPr="00026BAE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Felismeri egy módszer tudományos megalapozottságának meglétét vagy hiányát.</w:t>
            </w:r>
            <w:r w:rsidRPr="00B4120A">
              <w:rPr>
                <w:iCs/>
                <w:sz w:val="22"/>
                <w:szCs w:val="22"/>
              </w:rPr>
              <w:t xml:space="preserve"> </w:t>
            </w:r>
          </w:p>
          <w:p w:rsidR="001F2619" w:rsidRPr="000F55BE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Munkáját a </w:t>
            </w:r>
            <w:proofErr w:type="spellStart"/>
            <w:r>
              <w:rPr>
                <w:iCs/>
                <w:sz w:val="22"/>
                <w:szCs w:val="22"/>
              </w:rPr>
              <w:t>bio</w:t>
            </w:r>
            <w:proofErr w:type="spellEnd"/>
            <w:r>
              <w:rPr>
                <w:iCs/>
                <w:sz w:val="22"/>
                <w:szCs w:val="22"/>
              </w:rPr>
              <w:t xml:space="preserve">-pszicho-szociális szempontú gondoskodási elv mentén végzi el, a gyermeke, fiatalok támogató nevelésével, fejlesztési foglalkoztatásával, </w:t>
            </w:r>
            <w:proofErr w:type="gramStart"/>
            <w:r>
              <w:rPr>
                <w:iCs/>
                <w:sz w:val="22"/>
                <w:szCs w:val="22"/>
              </w:rPr>
              <w:t>krízis</w:t>
            </w:r>
            <w:proofErr w:type="gramEnd"/>
            <w:r>
              <w:rPr>
                <w:iCs/>
                <w:sz w:val="22"/>
                <w:szCs w:val="22"/>
              </w:rPr>
              <w:t>intervenciós habilitációs, rehabilitációs célú gondozásával, az eredményes (re)szocializáció elősegítése, és a gyermeki tanulói képességek optimumának elérésének érdekében.</w:t>
            </w:r>
          </w:p>
          <w:p w:rsidR="001F2619" w:rsidRPr="009671BF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Tevékenységében a bizonyítékokon alapuló ellátási formák nyilvánulnak meg, melyeket a köznevelési, szociális, gyermekvédelmi alap és szakellátásban és egészségügyi intézményrendszerben alkalmazhat, és melyek az érintette népességcsoportokra, valamint családjaikra sokrétű szupportív </w:t>
            </w:r>
            <w:proofErr w:type="spellStart"/>
            <w:r>
              <w:rPr>
                <w:iCs/>
                <w:sz w:val="22"/>
                <w:szCs w:val="22"/>
              </w:rPr>
              <w:t>pszichopedagógiai</w:t>
            </w:r>
            <w:proofErr w:type="spellEnd"/>
            <w:r>
              <w:rPr>
                <w:iCs/>
                <w:sz w:val="22"/>
                <w:szCs w:val="22"/>
              </w:rPr>
              <w:t xml:space="preserve"> ellátására irányulnak.</w:t>
            </w:r>
          </w:p>
          <w:p w:rsidR="001F2619" w:rsidRDefault="001F2619" w:rsidP="001F261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együttműködni a hátrányos helyzetű halmozottan hátrányos helyzetű deviáns magatartást mutató a veszélyeztetett, a bántalmazott és </w:t>
            </w:r>
            <w:proofErr w:type="spellStart"/>
            <w:r>
              <w:rPr>
                <w:sz w:val="22"/>
                <w:szCs w:val="22"/>
              </w:rPr>
              <w:t>neglektizált</w:t>
            </w:r>
            <w:proofErr w:type="spellEnd"/>
            <w:r>
              <w:rPr>
                <w:sz w:val="22"/>
                <w:szCs w:val="22"/>
              </w:rPr>
              <w:t xml:space="preserve"> gyermekek közvetlen környezetével, és az ellátást biztosító egyéb szakmai teammel.</w:t>
            </w:r>
          </w:p>
          <w:p w:rsidR="001F2619" w:rsidRPr="00C21F74" w:rsidRDefault="001F2619" w:rsidP="001F261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Azonosítja a </w:t>
            </w:r>
            <w:proofErr w:type="spellStart"/>
            <w:r>
              <w:rPr>
                <w:sz w:val="22"/>
                <w:szCs w:val="22"/>
              </w:rPr>
              <w:t>protektív</w:t>
            </w:r>
            <w:proofErr w:type="spellEnd"/>
            <w:r>
              <w:rPr>
                <w:sz w:val="22"/>
                <w:szCs w:val="22"/>
              </w:rPr>
              <w:t xml:space="preserve"> és kockázati tényezőket, valamint </w:t>
            </w:r>
            <w:proofErr w:type="spellStart"/>
            <w:r>
              <w:rPr>
                <w:sz w:val="22"/>
                <w:szCs w:val="22"/>
              </w:rPr>
              <w:t>pszichopedagógiai</w:t>
            </w:r>
            <w:proofErr w:type="spellEnd"/>
            <w:r>
              <w:rPr>
                <w:sz w:val="22"/>
                <w:szCs w:val="22"/>
              </w:rPr>
              <w:t xml:space="preserve"> ellátást biztosít.</w:t>
            </w:r>
          </w:p>
          <w:p w:rsidR="001F2619" w:rsidRPr="00B4120A" w:rsidRDefault="001F2619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 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fejlesztésére.</w:t>
            </w:r>
          </w:p>
          <w:p w:rsidR="001F2619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„Semmit rólunk nélkülünk” elv értelmében támogatja és elősegíti a fogyatékos emberek minél aktívabb részvételét, és önrendelkezésük megvalósulását az őket érintő folyamatokban.</w:t>
            </w:r>
          </w:p>
          <w:p w:rsidR="001F2619" w:rsidRPr="00C30178" w:rsidRDefault="001F2619" w:rsidP="001F2619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fogyatékos személyeket és hozzátartozóikat- azok igényeit figyelembe véve,- informálja az alkalmazni kívánt koncepcióról, eljárásról, módszerről, terápiáról illetve ezek eredményességéről.</w:t>
            </w:r>
          </w:p>
          <w:p w:rsidR="001F2619" w:rsidRPr="00C30178" w:rsidRDefault="001F2619" w:rsidP="001F2619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Elfogadja a fogyatékossal élő személyek jogairól szóló ENSZ egyezmény elveit, törekszik azok megvalósítására a munkája során.</w:t>
            </w:r>
          </w:p>
          <w:p w:rsidR="001F2619" w:rsidRPr="00C21F74" w:rsidRDefault="001F2619" w:rsidP="001F2619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Emberi jogi megközelítésből kiindulva, tiszteletbe tartja és képviseli a fogyatékos emberek és hozzátartozóinak jogait és érdekeit.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határtudományai, társtudományai módszertani kultúráját.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  <w:p w:rsidR="001F2619" w:rsidRPr="00B4120A" w:rsidRDefault="001F2619" w:rsidP="001F2619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Krízis- és válsághelyzet esetén hatékony tanácsot ad, segítséget nyújt, vagy kér.</w:t>
            </w:r>
          </w:p>
        </w:tc>
      </w:tr>
      <w:tr w:rsidR="001F2619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Dr. habil. Demszky Alma Míra</w:t>
            </w:r>
          </w:p>
        </w:tc>
      </w:tr>
      <w:tr w:rsidR="001F2619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F2619" w:rsidRPr="00B4120A" w:rsidRDefault="001F261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oktatásába bevont oktató: -</w:t>
            </w:r>
          </w:p>
        </w:tc>
      </w:tr>
    </w:tbl>
    <w:p w:rsidR="001F2619" w:rsidRPr="00B4120A" w:rsidRDefault="001F2619" w:rsidP="001F2619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1DA0"/>
    <w:multiLevelType w:val="hybridMultilevel"/>
    <w:tmpl w:val="9EBC1768"/>
    <w:lvl w:ilvl="0" w:tplc="040E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ung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ung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ung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7C5A5329"/>
    <w:multiLevelType w:val="hybridMultilevel"/>
    <w:tmpl w:val="2D6E54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9"/>
    <w:rsid w:val="000F7A44"/>
    <w:rsid w:val="001F2619"/>
    <w:rsid w:val="00D01377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523"/>
  <w15:docId w15:val="{1A6B606B-79BE-4B79-BA3A-02B34251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2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1F2619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1F26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1F2619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F2619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1F26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1F2619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F261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3</cp:revision>
  <dcterms:created xsi:type="dcterms:W3CDTF">2018-07-03T14:01:00Z</dcterms:created>
  <dcterms:modified xsi:type="dcterms:W3CDTF">2021-08-25T10:27:00Z</dcterms:modified>
</cp:coreProperties>
</file>