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7" w:rsidRPr="00B4120A" w:rsidRDefault="00C85757" w:rsidP="00C85757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2670"/>
      </w:tblGrid>
      <w:tr w:rsidR="00C85757" w:rsidRPr="00B4120A" w:rsidTr="009E11B6"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Tanulási teljesítményzavarok felismerése és kezelése</w:t>
            </w:r>
            <w:r>
              <w:rPr>
                <w:b/>
                <w:sz w:val="22"/>
                <w:szCs w:val="22"/>
              </w:rPr>
              <w:t xml:space="preserve"> NBP_GP156G3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100 % gyakorlat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7042F0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30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C85757" w:rsidRPr="00B4120A" w:rsidRDefault="00C8575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C85757" w:rsidRPr="00B4120A" w:rsidRDefault="00C8575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pármunka, kooperatív tanulásszervezés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="00AD3E20">
              <w:rPr>
                <w:sz w:val="22"/>
                <w:szCs w:val="22"/>
              </w:rPr>
              <w:t>módja: gyakorlati jegy</w:t>
            </w:r>
            <w:bookmarkStart w:id="0" w:name="_GoBack"/>
            <w:bookmarkEnd w:id="0"/>
          </w:p>
          <w:p w:rsidR="00C85757" w:rsidRPr="00B4120A" w:rsidRDefault="00C8575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>Folyamatos számonkérés, esettanulmány készítése. Dokumentumok elemzése.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6. félév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E2466A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E2466A">
              <w:rPr>
                <w:b/>
                <w:sz w:val="22"/>
                <w:szCs w:val="22"/>
              </w:rPr>
              <w:t>Kognitív fejlődési zavarok felismerése és kezelése NBP_GP155K3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85757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célja: </w:t>
            </w:r>
          </w:p>
          <w:p w:rsidR="00C85757" w:rsidRPr="00B4120A" w:rsidRDefault="00C85757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tanulók megismerkedjenek a tanulási teljesítményzavarok formáival, okaival és azok tüneteivel.  Tisztában legyenek azzal, hogy milyen diagnosztikai módszerek állnak rendelkezésre. Továbbá megismerkedjenek a tanulási teljesítményzavarok kezelésének lehetőségeivel. </w:t>
            </w:r>
          </w:p>
          <w:p w:rsidR="00C85757" w:rsidRPr="00B4120A" w:rsidRDefault="00C85757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tanulási nehézségek fogalma, formái és okai. 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Átmeneti tanulási nehézségek (lemaradó tanulók, lassú tanulók, helytelen szokásokkal, módszerekkel tanulók)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átmeneti tanulási nehézségek okai, tünetei.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átmenetei tanulási nehézségek felismerésének lehetőségei (kérdőívek, megfigyelési szempontok stb.)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átmenti tanulási nehézségek kezelésének lehetőségei. 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Tartós tanulási nehézségek – tanulási zavarok (diszlexia, diszgráfia,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) meghatározása, tünetei. 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tanulási zavarok kialakulásával kapcsolatos elméletek: </w:t>
            </w:r>
            <w:proofErr w:type="spellStart"/>
            <w:r w:rsidRPr="00B4120A">
              <w:rPr>
                <w:sz w:val="22"/>
                <w:szCs w:val="22"/>
              </w:rPr>
              <w:t>neuropszichológiai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perceptuo</w:t>
            </w:r>
            <w:proofErr w:type="spellEnd"/>
            <w:r w:rsidRPr="00B4120A">
              <w:rPr>
                <w:sz w:val="22"/>
                <w:szCs w:val="22"/>
              </w:rPr>
              <w:t xml:space="preserve">-motoros és percepciós, viselkedéslélektani, </w:t>
            </w:r>
            <w:proofErr w:type="spellStart"/>
            <w:r w:rsidRPr="00B4120A">
              <w:rPr>
                <w:sz w:val="22"/>
                <w:szCs w:val="22"/>
              </w:rPr>
              <w:t>pszicholingvisztikai</w:t>
            </w:r>
            <w:proofErr w:type="spellEnd"/>
            <w:r w:rsidRPr="00B4120A">
              <w:rPr>
                <w:sz w:val="22"/>
                <w:szCs w:val="22"/>
              </w:rPr>
              <w:t xml:space="preserve"> elméletek).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tanulási zavarok felismerésének lehetőségei 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Diszlexia prevenció és </w:t>
            </w:r>
            <w:proofErr w:type="spellStart"/>
            <w:r w:rsidRPr="00B4120A">
              <w:rPr>
                <w:sz w:val="22"/>
                <w:szCs w:val="22"/>
              </w:rPr>
              <w:t>reedukáció</w:t>
            </w:r>
            <w:proofErr w:type="spellEnd"/>
            <w:r w:rsidRPr="00B4120A">
              <w:rPr>
                <w:sz w:val="22"/>
                <w:szCs w:val="22"/>
              </w:rPr>
              <w:t>, fejlesztési lehetőségek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Mozgásfejlesztés.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Téri tájékozódás és testséma fejlesztése.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Verbális fejlesztés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Percepciófejlesztés.</w:t>
            </w:r>
          </w:p>
          <w:p w:rsidR="00C85757" w:rsidRPr="00B4120A" w:rsidRDefault="00C85757" w:rsidP="00C85757">
            <w:pPr>
              <w:numPr>
                <w:ilvl w:val="0"/>
                <w:numId w:val="4"/>
              </w:numPr>
              <w:suppressAutoHyphens/>
              <w:ind w:left="1451" w:hanging="850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Iskolai alulteljesítés jelenségköre és terápiás lehetőségei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5757" w:rsidRPr="00B4120A" w:rsidRDefault="00C85757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85757" w:rsidRPr="00B4120A" w:rsidRDefault="00C85757" w:rsidP="009E11B6">
            <w:pPr>
              <w:pStyle w:val="Standard"/>
              <w:spacing w:line="360" w:lineRule="auto"/>
              <w:jc w:val="both"/>
              <w:rPr>
                <w:rFonts w:ascii="Times New Roman" w:eastAsia="Symbol" w:hAnsi="Times New Roman" w:cs="Times New Roman"/>
                <w:b/>
                <w:bCs/>
                <w:sz w:val="22"/>
                <w:szCs w:val="22"/>
              </w:rPr>
            </w:pPr>
            <w:r w:rsidRPr="00B4120A">
              <w:rPr>
                <w:rFonts w:ascii="Times New Roman" w:eastAsia="Symbol" w:hAnsi="Times New Roman" w:cs="Times New Roman"/>
                <w:b/>
                <w:bCs/>
                <w:sz w:val="22"/>
                <w:szCs w:val="22"/>
              </w:rPr>
              <w:t>Kötelező irodalom:</w:t>
            </w:r>
          </w:p>
          <w:p w:rsidR="00C85757" w:rsidRPr="00B4120A" w:rsidRDefault="00C85757" w:rsidP="00C8575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eastAsia="Symbol" w:hAnsi="Times New Roman" w:cs="Times New Roman"/>
                <w:bCs/>
                <w:sz w:val="22"/>
                <w:szCs w:val="22"/>
              </w:rPr>
            </w:pPr>
            <w:r w:rsidRPr="00B4120A">
              <w:rPr>
                <w:rFonts w:ascii="Times New Roman" w:eastAsia="Symbol" w:hAnsi="Times New Roman" w:cs="Times New Roman"/>
                <w:bCs/>
                <w:sz w:val="22"/>
                <w:szCs w:val="22"/>
              </w:rPr>
              <w:t>CSÉPE V.(2000): Az olvasás és írásképesség zavarai. In: ILLYÉS S.(</w:t>
            </w:r>
            <w:proofErr w:type="spellStart"/>
            <w:r w:rsidRPr="00B4120A">
              <w:rPr>
                <w:rFonts w:ascii="Times New Roman" w:eastAsia="Symbol" w:hAnsi="Times New Roman" w:cs="Times New Roman"/>
                <w:bCs/>
                <w:sz w:val="22"/>
                <w:szCs w:val="22"/>
              </w:rPr>
              <w:t>szerk</w:t>
            </w:r>
            <w:proofErr w:type="spellEnd"/>
            <w:r w:rsidRPr="00B4120A">
              <w:rPr>
                <w:rFonts w:ascii="Times New Roman" w:eastAsia="Symbol" w:hAnsi="Times New Roman" w:cs="Times New Roman"/>
                <w:bCs/>
                <w:sz w:val="22"/>
                <w:szCs w:val="22"/>
              </w:rPr>
              <w:t>) Gyógypedagógiai alapismeretek. ELTE, Budapest. 239-279.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eastAsia="Symbol"/>
                <w:bCs/>
                <w:sz w:val="22"/>
                <w:szCs w:val="22"/>
              </w:rPr>
            </w:pPr>
            <w:r w:rsidRPr="00B4120A">
              <w:rPr>
                <w:rFonts w:eastAsia="Symbol"/>
                <w:bCs/>
                <w:sz w:val="22"/>
                <w:szCs w:val="22"/>
              </w:rPr>
              <w:t xml:space="preserve">Dr. Juhász Ágnes-Dr. Dékány Judit: Kézikönyv a </w:t>
            </w:r>
            <w:proofErr w:type="spellStart"/>
            <w:r w:rsidRPr="00B4120A">
              <w:rPr>
                <w:rFonts w:eastAsia="Symbol"/>
                <w:bCs/>
                <w:sz w:val="22"/>
                <w:szCs w:val="22"/>
              </w:rPr>
              <w:t>diszkalkulia</w:t>
            </w:r>
            <w:proofErr w:type="spellEnd"/>
            <w:r w:rsidRPr="00B4120A">
              <w:rPr>
                <w:rFonts w:eastAsia="Symbol"/>
                <w:bCs/>
                <w:sz w:val="22"/>
                <w:szCs w:val="22"/>
              </w:rPr>
              <w:t xml:space="preserve"> felismeréséhez és terápiájához, Logopédia Kiadó GMK 2007.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eastAsia="Symbol"/>
                <w:bCs/>
                <w:sz w:val="22"/>
                <w:szCs w:val="22"/>
              </w:rPr>
            </w:pPr>
            <w:r w:rsidRPr="00B4120A">
              <w:rPr>
                <w:rFonts w:eastAsia="Symbol"/>
                <w:bCs/>
                <w:sz w:val="22"/>
                <w:szCs w:val="22"/>
              </w:rPr>
              <w:t>Mesterházi Zsuzsanna (</w:t>
            </w:r>
            <w:proofErr w:type="spellStart"/>
            <w:r w:rsidRPr="00B4120A">
              <w:rPr>
                <w:rFonts w:eastAsia="Symbol"/>
                <w:bCs/>
                <w:sz w:val="22"/>
                <w:szCs w:val="22"/>
              </w:rPr>
              <w:t>szerk</w:t>
            </w:r>
            <w:proofErr w:type="spellEnd"/>
            <w:r w:rsidRPr="00B4120A">
              <w:rPr>
                <w:rFonts w:eastAsia="Symbol"/>
                <w:bCs/>
                <w:sz w:val="22"/>
                <w:szCs w:val="22"/>
              </w:rPr>
              <w:t xml:space="preserve">.): </w:t>
            </w:r>
            <w:proofErr w:type="spellStart"/>
            <w:r w:rsidRPr="00B4120A">
              <w:rPr>
                <w:rFonts w:eastAsia="Symbol"/>
                <w:bCs/>
                <w:sz w:val="22"/>
                <w:szCs w:val="22"/>
              </w:rPr>
              <w:t>Diszkalkuliáról</w:t>
            </w:r>
            <w:proofErr w:type="spellEnd"/>
            <w:r w:rsidRPr="00B4120A">
              <w:rPr>
                <w:rFonts w:eastAsia="Symbol"/>
                <w:bCs/>
                <w:sz w:val="22"/>
                <w:szCs w:val="22"/>
              </w:rPr>
              <w:t xml:space="preserve"> pedagógusoknak. ELTE jegyzet, 1999.</w:t>
            </w:r>
          </w:p>
          <w:p w:rsidR="00C85757" w:rsidRPr="00B4120A" w:rsidRDefault="00C85757" w:rsidP="00C8575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SELIKOWITZ, M. (1997): Diszlexia és egyéb tanulási nehézségek. Medicina Kiadó, Budapest. </w:t>
            </w:r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lastRenderedPageBreak/>
              <w:t>15.</w:t>
            </w:r>
          </w:p>
          <w:p w:rsidR="00C85757" w:rsidRPr="00B4120A" w:rsidRDefault="00C85757" w:rsidP="00C8575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MEIXNER I.(1993): A </w:t>
            </w:r>
            <w:proofErr w:type="spellStart"/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t>dyslexia</w:t>
            </w:r>
            <w:proofErr w:type="spellEnd"/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 prevenció, </w:t>
            </w:r>
            <w:proofErr w:type="spellStart"/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t>reedukáció</w:t>
            </w:r>
            <w:proofErr w:type="spellEnd"/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 módszere. Bárczi Gusztáv Gyógypedagógiai Tanárképző Főiskola, Budapest.</w:t>
            </w:r>
          </w:p>
          <w:p w:rsidR="00C85757" w:rsidRPr="00B4120A" w:rsidRDefault="00C85757" w:rsidP="00C8575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t>D</w:t>
            </w:r>
            <w:r w:rsidRPr="00B412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ávid Mária, Estefánné Varga Magdolna, </w:t>
            </w:r>
            <w:proofErr w:type="spellStart"/>
            <w:r w:rsidRPr="00B412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Taskó</w:t>
            </w:r>
            <w:proofErr w:type="spellEnd"/>
            <w:r w:rsidRPr="00B412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Tünde: Az </w:t>
            </w:r>
            <w:proofErr w:type="spellStart"/>
            <w:r w:rsidRPr="00B412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alulteljesítés</w:t>
            </w:r>
            <w:proofErr w:type="spellEnd"/>
            <w:r w:rsidRPr="00B412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okai és kezelési lehetőségei az iskolában egy nemzetközi kutatás tükrében. in: </w:t>
            </w:r>
            <w:r w:rsidRPr="00B4120A">
              <w:rPr>
                <w:rStyle w:val="folyoirat"/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ACTA ACADEMIAE PAEDAGOGICAE AGRIENSIS NOVA SERIES: SECTIO PSYCHOLOGIAE </w:t>
            </w:r>
            <w:r w:rsidRPr="00B4120A">
              <w:rPr>
                <w:rStyle w:val="kotet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31:</w:t>
            </w:r>
            <w:r w:rsidRPr="00B412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 EKF Líceum Kiadó. Eger. </w:t>
            </w:r>
            <w:r w:rsidRPr="00B4120A">
              <w:rPr>
                <w:rStyle w:val="oldal"/>
                <w:rFonts w:ascii="Times New Roman" w:hAnsi="Times New Roman" w:cs="Times New Roman"/>
                <w:color w:val="000000"/>
                <w:sz w:val="22"/>
                <w:szCs w:val="22"/>
              </w:rPr>
              <w:t>pp. 97-117.</w:t>
            </w:r>
            <w:r w:rsidRPr="00B4120A">
              <w:rPr>
                <w:rStyle w:val="ev"/>
                <w:rFonts w:ascii="Times New Roman" w:hAnsi="Times New Roman" w:cs="Times New Roman"/>
                <w:color w:val="000000"/>
                <w:sz w:val="22"/>
                <w:szCs w:val="22"/>
              </w:rPr>
              <w:t> 2004</w:t>
            </w:r>
          </w:p>
          <w:p w:rsidR="00C85757" w:rsidRPr="00B4120A" w:rsidRDefault="00C85757" w:rsidP="009E11B6">
            <w:pPr>
              <w:pStyle w:val="Listaszerbekezds"/>
              <w:ind w:left="0"/>
              <w:jc w:val="both"/>
              <w:rPr>
                <w:rFonts w:eastAsia="Symbol"/>
                <w:b/>
                <w:bCs/>
                <w:sz w:val="22"/>
                <w:szCs w:val="22"/>
              </w:rPr>
            </w:pPr>
            <w:r w:rsidRPr="00B4120A">
              <w:rPr>
                <w:rFonts w:eastAsia="Symbol"/>
                <w:b/>
                <w:bCs/>
                <w:sz w:val="22"/>
                <w:szCs w:val="22"/>
              </w:rPr>
              <w:t>Ajánlott irodalom:</w:t>
            </w:r>
          </w:p>
          <w:p w:rsidR="00C85757" w:rsidRPr="00B4120A" w:rsidRDefault="00C85757" w:rsidP="00C8575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B4120A">
              <w:rPr>
                <w:rFonts w:ascii="Times New Roman" w:eastAsia="Symbol" w:hAnsi="Times New Roman" w:cs="Times New Roman"/>
                <w:sz w:val="22"/>
                <w:szCs w:val="22"/>
              </w:rPr>
              <w:t>TÖLGYSZÉKY P. GYULÁNÉ (2003): A tanulási nehézségek kezelése. Logopédia Kiadó, Budapest.</w:t>
            </w:r>
          </w:p>
          <w:p w:rsidR="00C85757" w:rsidRPr="00B4120A" w:rsidRDefault="00C85757" w:rsidP="00C8575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Symbol" w:hAnsi="Times New Roman" w:cs="Times New Roman"/>
                <w:bCs/>
                <w:sz w:val="22"/>
                <w:szCs w:val="22"/>
              </w:rPr>
            </w:pPr>
            <w:r w:rsidRPr="00B4120A">
              <w:rPr>
                <w:rFonts w:ascii="Times New Roman" w:eastAsia="Symbol" w:hAnsi="Times New Roman" w:cs="Times New Roman"/>
                <w:bCs/>
                <w:sz w:val="22"/>
                <w:szCs w:val="22"/>
              </w:rPr>
              <w:t>GYARMATHY É.(1998): A tanulási zavarok szindróma a szakirodalomban. Új Pedagógiai Szemle, 10 (1). 61.</w:t>
            </w:r>
          </w:p>
          <w:p w:rsidR="00C85757" w:rsidRPr="00B4120A" w:rsidRDefault="00C85757" w:rsidP="00C8575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20A">
              <w:rPr>
                <w:rFonts w:ascii="Times New Roman" w:eastAsia="Symbol" w:hAnsi="Times New Roman" w:cs="Times New Roman"/>
                <w:bCs/>
                <w:sz w:val="22"/>
                <w:szCs w:val="22"/>
              </w:rPr>
              <w:t>VELLUTINO, FRANK R.(1992): Az olvasás egy sajátos zavara, a diszlexia. Fejlesztő Pedagógia, 1-2. 4-12.</w:t>
            </w:r>
          </w:p>
        </w:tc>
      </w:tr>
      <w:tr w:rsidR="00C8575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5757" w:rsidRPr="00B4120A" w:rsidRDefault="00C85757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85757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85757" w:rsidRPr="00B4120A" w:rsidRDefault="00C85757" w:rsidP="00C85757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5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fogyatékosságügy, a gyógypedagógia és a gyógypedagógiához kapcsolódó határtudományok fogyatékos, sérült, akadályozott személyekre vonatkozó </w:t>
            </w:r>
            <w:r w:rsidRPr="00B4120A">
              <w:rPr>
                <w:sz w:val="22"/>
                <w:szCs w:val="22"/>
              </w:rPr>
              <w:t xml:space="preserve">történeti elemeit, alapvető társadalmi folyamatait, </w:t>
            </w:r>
            <w:r w:rsidRPr="00B4120A">
              <w:rPr>
                <w:sz w:val="22"/>
                <w:szCs w:val="22"/>
                <w:lang w:eastAsia="ar-SA"/>
              </w:rPr>
              <w:t xml:space="preserve">legfontosabb elméleteit, összefüggéseit és probléma-megoldási módszereit. 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5"/>
              </w:numPr>
              <w:suppressAutoHyphens/>
              <w:ind w:left="601" w:hanging="284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Rendelkezik a fogyatékossággal élő személyekkel kapcsolatos pszichológiai és </w:t>
            </w:r>
            <w:proofErr w:type="spellStart"/>
            <w:r w:rsidRPr="00B4120A">
              <w:rPr>
                <w:sz w:val="22"/>
                <w:szCs w:val="22"/>
              </w:rPr>
              <w:t>pszichodiagnosztikai</w:t>
            </w:r>
            <w:proofErr w:type="spellEnd"/>
            <w:r w:rsidRPr="00B4120A">
              <w:rPr>
                <w:sz w:val="22"/>
                <w:szCs w:val="22"/>
              </w:rPr>
              <w:t xml:space="preserve"> ismeretekkel tisztában van a fogyatékosságok, sérülések, akadályozottságok hátterében álló pszichológiai folyamatokkal.</w:t>
            </w:r>
          </w:p>
          <w:p w:rsidR="00C85757" w:rsidRPr="00B4120A" w:rsidRDefault="00C85757" w:rsidP="00C85757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C85757" w:rsidRPr="00B4120A" w:rsidRDefault="00C85757" w:rsidP="00C85757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595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az orvosi (egészségügyi) továbbá a pszichológiai diagnózisok, vizsgálati eredmények ismeretében komplex gyógypedagógiai differenciáldiagnosztikát végezni a gyógypedagógiai tevékenység és folyamatok tudatos, célorientált megtervezése érdekében. </w:t>
            </w:r>
          </w:p>
          <w:p w:rsidR="00C85757" w:rsidRPr="00B4120A" w:rsidRDefault="00C85757" w:rsidP="00C85757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595" w:hanging="357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</w:t>
            </w:r>
            <w:r w:rsidRPr="00B4120A">
              <w:rPr>
                <w:sz w:val="22"/>
                <w:szCs w:val="22"/>
              </w:rPr>
              <w:t xml:space="preserve">tevékenységet végez a fogyatékos személyeket ellátó intézmény- és szolgáltató-rendszerekben. 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6"/>
              </w:numPr>
              <w:suppressAutoHyphens/>
              <w:ind w:left="595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  <w:r w:rsidRPr="00B4120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 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C85757" w:rsidRPr="00B4120A" w:rsidRDefault="00C85757" w:rsidP="00C85757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vállal a fogyatékos személyekért, a gyógypedagógiai folyamatok, tevékenységek tervezése során hozott döntéseiért és gyógypedagógiai tevékenységének következményeiért. </w:t>
            </w:r>
          </w:p>
        </w:tc>
      </w:tr>
      <w:tr w:rsidR="00C85757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</w:t>
            </w:r>
            <w:proofErr w:type="spellStart"/>
            <w:r w:rsidRPr="00B4120A">
              <w:rPr>
                <w:b/>
                <w:sz w:val="22"/>
                <w:szCs w:val="22"/>
              </w:rPr>
              <w:t>Taskó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Tünde Anna, PhD, főiskolai docens</w:t>
            </w:r>
          </w:p>
        </w:tc>
      </w:tr>
      <w:tr w:rsidR="00C85757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5757" w:rsidRPr="00B4120A" w:rsidRDefault="00C8575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Pacza Beáta, logopédus-pszichológus, óraadó</w:t>
            </w:r>
          </w:p>
        </w:tc>
      </w:tr>
    </w:tbl>
    <w:p w:rsidR="00C85757" w:rsidRDefault="00C85757" w:rsidP="00C85757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5BA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F81541"/>
    <w:multiLevelType w:val="hybridMultilevel"/>
    <w:tmpl w:val="107E322C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0D422F6"/>
    <w:multiLevelType w:val="hybridMultilevel"/>
    <w:tmpl w:val="BFF25E6A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1EE63B9"/>
    <w:multiLevelType w:val="hybridMultilevel"/>
    <w:tmpl w:val="0BE23E32"/>
    <w:lvl w:ilvl="0" w:tplc="429E3C36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DD7637"/>
    <w:multiLevelType w:val="hybridMultilevel"/>
    <w:tmpl w:val="D90AD59A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D3D5C50"/>
    <w:multiLevelType w:val="hybridMultilevel"/>
    <w:tmpl w:val="7DA211EA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82F0792"/>
    <w:multiLevelType w:val="hybridMultilevel"/>
    <w:tmpl w:val="403A7982"/>
    <w:lvl w:ilvl="0" w:tplc="9C1ECD3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93C00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7"/>
    <w:rsid w:val="007042F0"/>
    <w:rsid w:val="00AD3E20"/>
    <w:rsid w:val="00C85757"/>
    <w:rsid w:val="00D44C5B"/>
    <w:rsid w:val="00DC1E9E"/>
    <w:rsid w:val="00E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25E6"/>
  <w15:docId w15:val="{19D1E4E2-1022-4FA3-9CF7-8E8AE6D6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757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C8575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85757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C857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ev">
    <w:name w:val="ev"/>
    <w:rsid w:val="00C85757"/>
  </w:style>
  <w:style w:type="paragraph" w:customStyle="1" w:styleId="Standard">
    <w:name w:val="Standard"/>
    <w:rsid w:val="00C857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lyoirat">
    <w:name w:val="folyoirat"/>
    <w:rsid w:val="00C85757"/>
  </w:style>
  <w:style w:type="character" w:customStyle="1" w:styleId="kotet">
    <w:name w:val="kotet"/>
    <w:rsid w:val="00C85757"/>
  </w:style>
  <w:style w:type="character" w:customStyle="1" w:styleId="oldal">
    <w:name w:val="oldal"/>
    <w:rsid w:val="00C8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2018-07-03T13:51:00Z</dcterms:created>
  <dcterms:modified xsi:type="dcterms:W3CDTF">2021-08-25T10:22:00Z</dcterms:modified>
</cp:coreProperties>
</file>