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C" w:rsidRPr="00B4120A" w:rsidRDefault="007042CC" w:rsidP="007042CC">
      <w:pPr>
        <w:suppressAutoHyphens/>
        <w:rPr>
          <w:color w:val="FF0000"/>
          <w:sz w:val="22"/>
          <w:szCs w:val="22"/>
        </w:rPr>
      </w:pPr>
    </w:p>
    <w:tbl>
      <w:tblPr>
        <w:tblW w:w="90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2670"/>
      </w:tblGrid>
      <w:tr w:rsidR="007042CC" w:rsidRPr="00B4120A" w:rsidTr="009E11B6"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(2.) Tantárgy </w:t>
            </w:r>
            <w:r w:rsidRPr="00B4120A">
              <w:rPr>
                <w:sz w:val="22"/>
                <w:szCs w:val="22"/>
              </w:rPr>
              <w:t>neve</w:t>
            </w:r>
            <w:r w:rsidRPr="00694DC5">
              <w:rPr>
                <w:b/>
                <w:sz w:val="22"/>
                <w:szCs w:val="22"/>
              </w:rPr>
              <w:t>: Gyermekpszichiátria</w:t>
            </w:r>
            <w:r>
              <w:rPr>
                <w:b/>
                <w:sz w:val="22"/>
                <w:szCs w:val="22"/>
              </w:rPr>
              <w:t xml:space="preserve"> NBP_GP150K3</w:t>
            </w:r>
          </w:p>
          <w:p w:rsidR="007042CC" w:rsidRPr="00B4120A" w:rsidRDefault="007042CC" w:rsidP="009E11B6">
            <w:pPr>
              <w:pStyle w:val="Lbjegyzetszveg"/>
              <w:suppressAutoHyphens/>
              <w:ind w:left="-68"/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tantárgy besorolása: kötelező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>: 100% elmélet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7042CC" w:rsidRPr="00B4120A" w:rsidRDefault="007042C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7042CC" w:rsidRPr="00B4120A" w:rsidRDefault="007042C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oktatása során az előadást színesítő, </w:t>
            </w:r>
            <w:proofErr w:type="spellStart"/>
            <w:r w:rsidRPr="00B4120A">
              <w:rPr>
                <w:sz w:val="22"/>
                <w:szCs w:val="22"/>
              </w:rPr>
              <w:t>audio-vizuális</w:t>
            </w:r>
            <w:proofErr w:type="spellEnd"/>
            <w:r w:rsidRPr="00B4120A">
              <w:rPr>
                <w:sz w:val="22"/>
                <w:szCs w:val="22"/>
              </w:rPr>
              <w:t xml:space="preserve"> eszközökkel történő demonstrációkkal, esetbemutatásokkal találkoznak a hallgatók.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koll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</w:p>
          <w:p w:rsidR="007042CC" w:rsidRPr="00B4120A" w:rsidRDefault="007042C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7042CC" w:rsidRPr="00B4120A" w:rsidRDefault="007042C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Folyamatos számonkérés a tanultak elsajátításáról, év végén szóbeli/írásbeli vizsga. 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4. félév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753E5D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753E5D" w:rsidRPr="00E42983">
              <w:rPr>
                <w:b/>
                <w:sz w:val="22"/>
                <w:szCs w:val="22"/>
              </w:rPr>
              <w:t xml:space="preserve">Gyógypedagógiai fejlődéstan és kórtan </w:t>
            </w:r>
            <w:r w:rsidR="00753E5D">
              <w:rPr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="00753E5D">
              <w:rPr>
                <w:b/>
                <w:sz w:val="22"/>
                <w:szCs w:val="22"/>
              </w:rPr>
              <w:t>BP_GP113K3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7042CC" w:rsidRPr="00B4120A" w:rsidTr="009E11B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hd w:val="clear" w:color="auto" w:fill="FFF2CC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 xml:space="preserve">A tantárgy célja, </w:t>
            </w:r>
            <w:r w:rsidRPr="00B4120A">
              <w:rPr>
                <w:sz w:val="22"/>
                <w:szCs w:val="22"/>
              </w:rPr>
              <w:t>hogy a hallgatók ismerjék a gyermekpszichiátria tárgyát, a gyermekpszichiáter kompetenciakör</w:t>
            </w:r>
            <w:r>
              <w:rPr>
                <w:sz w:val="22"/>
                <w:szCs w:val="22"/>
              </w:rPr>
              <w:t>é</w:t>
            </w:r>
            <w:r w:rsidRPr="00B4120A">
              <w:rPr>
                <w:sz w:val="22"/>
                <w:szCs w:val="22"/>
              </w:rPr>
              <w:t xml:space="preserve">t, s </w:t>
            </w:r>
            <w:r>
              <w:rPr>
                <w:sz w:val="22"/>
                <w:szCs w:val="22"/>
              </w:rPr>
              <w:t xml:space="preserve">a </w:t>
            </w:r>
            <w:r w:rsidRPr="00B4120A">
              <w:rPr>
                <w:sz w:val="22"/>
                <w:szCs w:val="22"/>
              </w:rPr>
              <w:t>gyermekkorban jelentkező pszichiátriai problémák megnevezését, tüneteit, feltételezhető okait, népességbeli előfordulásuk gyakoriságát, kórlefolyását és a gyermekpszichiátria által javasolt kezelési eljárásokat. Cél, hogy a hallgató a témával kapcsolatos szakkifejezéseket értsék és használni tudják, team-munkában a gyermekpszichiáterekkel szakmai konzultációt tudjanak folytatni, felismerjék azokat az eseteket, amikor gyermekpszichiáter bevonása szükséges.</w:t>
            </w:r>
          </w:p>
          <w:p w:rsidR="007042CC" w:rsidRPr="00B4120A" w:rsidRDefault="007042CC" w:rsidP="009E11B6">
            <w:pPr>
              <w:shd w:val="clear" w:color="auto" w:fill="FFF2CC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A gyermekpszichiátria fogalma, tárgya, vizsgálati módszerei, története, kompetenciaköre.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Gyermekpszichiátriai kórképek a diagnosztikus osztályozó rendszerekben (BNO és DSM).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Gyermekpszichiátriai betegségek rizikófaktorai, epidemiológiája.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Gyermekpszichiátriai vizsgáló módszerek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Gyermekpszichiátriai kezelések, terápiák jellemző típusai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Funkciózavarok.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Az érzelem és kötődés zavarai.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Mentális zavarok.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Az érzelmi, hangulati élet zavarai.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Pszichotikus állapotok.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</w:rPr>
              <w:t>Pervazív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fejlődési zavarok.</w:t>
            </w:r>
          </w:p>
          <w:p w:rsidR="007042CC" w:rsidRPr="00B4120A" w:rsidRDefault="007042CC" w:rsidP="007042CC">
            <w:pPr>
              <w:numPr>
                <w:ilvl w:val="0"/>
                <w:numId w:val="4"/>
              </w:numPr>
              <w:shd w:val="clear" w:color="auto" w:fill="FFF2CC"/>
              <w:autoSpaceDE w:val="0"/>
              <w:autoSpaceDN w:val="0"/>
              <w:adjustRightInd w:val="0"/>
              <w:ind w:left="459" w:hanging="283"/>
              <w:jc w:val="both"/>
              <w:rPr>
                <w:rFonts w:eastAsia="Calibri"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>Gyermekkori viselkedészavarok.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42CC" w:rsidRPr="00B4120A" w:rsidRDefault="007042C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042CC" w:rsidRPr="00B4120A" w:rsidRDefault="007042CC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7042CC" w:rsidRPr="00B4120A" w:rsidRDefault="007042CC" w:rsidP="007042CC">
            <w:pPr>
              <w:numPr>
                <w:ilvl w:val="0"/>
                <w:numId w:val="7"/>
              </w:numPr>
              <w:tabs>
                <w:tab w:val="clear" w:pos="360"/>
                <w:tab w:val="num" w:pos="743"/>
              </w:tabs>
              <w:ind w:left="743" w:hanging="37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Vetró Ágnes (szerk.) (2008).  </w:t>
            </w:r>
            <w:r w:rsidRPr="00B4120A">
              <w:rPr>
                <w:i/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gyermek- és ifjúságpszichiátria.</w:t>
            </w:r>
            <w:r w:rsidRPr="00B4120A">
              <w:rPr>
                <w:sz w:val="22"/>
                <w:szCs w:val="22"/>
              </w:rPr>
              <w:t xml:space="preserve"> Budapest: Medicina Kiadó. 2008.</w:t>
            </w:r>
          </w:p>
          <w:p w:rsidR="007042CC" w:rsidRPr="00B4120A" w:rsidRDefault="007042CC" w:rsidP="007042CC">
            <w:pPr>
              <w:numPr>
                <w:ilvl w:val="0"/>
                <w:numId w:val="8"/>
              </w:numPr>
              <w:tabs>
                <w:tab w:val="clear" w:pos="360"/>
                <w:tab w:val="num" w:pos="743"/>
              </w:tabs>
              <w:ind w:left="743" w:hanging="37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Vikár András &amp; Vikár György és Székács Eszter: </w:t>
            </w:r>
            <w:r w:rsidRPr="00B4120A">
              <w:rPr>
                <w:i/>
                <w:sz w:val="22"/>
                <w:szCs w:val="22"/>
              </w:rPr>
              <w:t>Dinamikus gyermekpszichiátria</w:t>
            </w:r>
            <w:r w:rsidRPr="00B4120A">
              <w:rPr>
                <w:sz w:val="22"/>
                <w:szCs w:val="22"/>
              </w:rPr>
              <w:t>. Budapest: Medicina Kiadó. 2014.</w:t>
            </w:r>
          </w:p>
          <w:p w:rsidR="007042CC" w:rsidRPr="00B4120A" w:rsidRDefault="007042CC" w:rsidP="007042CC">
            <w:pPr>
              <w:numPr>
                <w:ilvl w:val="0"/>
                <w:numId w:val="7"/>
              </w:numPr>
              <w:tabs>
                <w:tab w:val="clear" w:pos="360"/>
                <w:tab w:val="num" w:pos="743"/>
              </w:tabs>
              <w:ind w:left="743" w:hanging="37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Mező Ferenc: A viselkedés elemzése és fejlesztése. K+F Stúdió Kft., Debrecen. 2016.</w:t>
            </w:r>
          </w:p>
          <w:p w:rsidR="007042CC" w:rsidRPr="00B4120A" w:rsidRDefault="007042CC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</w:t>
            </w:r>
          </w:p>
          <w:p w:rsidR="007042CC" w:rsidRPr="00B4120A" w:rsidRDefault="007042CC" w:rsidP="007042C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Gácser</w:t>
            </w:r>
            <w:proofErr w:type="spellEnd"/>
            <w:r w:rsidRPr="00B4120A">
              <w:rPr>
                <w:sz w:val="22"/>
                <w:szCs w:val="22"/>
              </w:rPr>
              <w:t xml:space="preserve"> Magdolna: „</w:t>
            </w:r>
            <w:r w:rsidRPr="00B4120A">
              <w:rPr>
                <w:i/>
                <w:sz w:val="22"/>
                <w:szCs w:val="22"/>
              </w:rPr>
              <w:t>Csodatévő virág”.</w:t>
            </w:r>
            <w:r w:rsidRPr="00B4120A">
              <w:rPr>
                <w:sz w:val="22"/>
                <w:szCs w:val="22"/>
              </w:rPr>
              <w:t xml:space="preserve"> Gyermekpszichiátriai esettanulmányok pedagógusoknak.  APC Stúdió, Gyula.  2007.</w:t>
            </w:r>
          </w:p>
        </w:tc>
      </w:tr>
      <w:tr w:rsidR="007042CC" w:rsidRPr="00B4120A" w:rsidTr="009E11B6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42CC" w:rsidRPr="00B4120A" w:rsidRDefault="007042C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 xml:space="preserve">amelyek kialakításához a tantárgy jellemzően, érdemben </w:t>
            </w:r>
            <w:r w:rsidRPr="00B4120A">
              <w:rPr>
                <w:b/>
                <w:sz w:val="22"/>
                <w:szCs w:val="22"/>
              </w:rPr>
              <w:lastRenderedPageBreak/>
              <w:t>hozzájárul</w:t>
            </w:r>
          </w:p>
        </w:tc>
      </w:tr>
      <w:tr w:rsidR="007042CC" w:rsidRPr="00B4120A" w:rsidTr="009E11B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042CC" w:rsidRDefault="007042CC" w:rsidP="007042C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7042CC" w:rsidRPr="00DE4841" w:rsidRDefault="007042CC" w:rsidP="007042CC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firstLine="0"/>
              <w:rPr>
                <w:b/>
                <w:sz w:val="22"/>
                <w:szCs w:val="22"/>
              </w:rPr>
            </w:pPr>
            <w:r w:rsidRPr="00DE4841">
              <w:rPr>
                <w:sz w:val="22"/>
                <w:szCs w:val="22"/>
              </w:rPr>
              <w:t xml:space="preserve">Rendelkezik a fogyatékosság személyekkel kapcsolatos pszichológiai és </w:t>
            </w:r>
            <w:proofErr w:type="spellStart"/>
            <w:r w:rsidRPr="00DE4841">
              <w:rPr>
                <w:sz w:val="22"/>
                <w:szCs w:val="22"/>
              </w:rPr>
              <w:t>pszichodiagnosztikai</w:t>
            </w:r>
            <w:proofErr w:type="spellEnd"/>
            <w:r w:rsidRPr="00DE4841">
              <w:rPr>
                <w:sz w:val="22"/>
                <w:szCs w:val="22"/>
              </w:rPr>
              <w:t xml:space="preserve"> ismeretekkel, tisztában van a fogyatékosságok sérülések akadályozottságok hátterében álló pszichológiai folyamatokkal 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tanulási-, érzelmi- és a viselkedési zavarok, a személyiségfejlődés orvostudományi, pszichológiai,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>, szociológiai, filozófiai hátterét, azok ok-okozati összefüggéseit.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Ismeretekkel rendelkezik az eltérő személyiségfejlődés kialakulásának lehetséges hátteréről, és azok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intervenciós lehetőségeiről. 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viselkedészavarok ok-okozati összefüggéseivel, a tanulási zavarok, az érzelmi zavarok, a devianciák és a viselkedészavarok kapcsolatával. 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személyiségfejlődési, viselkedésbeli, érzelmi problémákkal küzdő népességcsoportokhoz kapcsolódó bánásmódot, az ellátás hazai módszereit és gyakorlatát, rálátása van külföldi jó gyakorlatokra. 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intézményes segítő/ellátórendszereket: köznevelési intézmények, szociális-, és gyermekvédelmi, gyermekjóléti ellátás intézményei, egészségügyi intézmények, javító-nevelés és a büntetés-végrehajtás intézményrendszere.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az aktuális diagnosztikus osztályozó rendszer fentebb említett zavarokra vonatkozó elemeivel és az abból következő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 feladataival, kompetenciakörével.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601" w:firstLine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az egészségügyben gondozott (krónikus) betegek, illetve gyermekpszichiátriai betegek kognitív és pszichés fejlődésével.</w:t>
            </w:r>
          </w:p>
          <w:p w:rsidR="007042CC" w:rsidRPr="00B4120A" w:rsidRDefault="007042CC" w:rsidP="007042C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7042CC" w:rsidRPr="00880780" w:rsidRDefault="007042CC" w:rsidP="007042CC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az orvosi (egészségügyi), továbbá a pszichológiai diagnózisok vizsgálati eredmények ismeretében, komplex gyógypedagógiai differenciáldiagnosztikát végezni a gyógypedagógiai tevékenység megtervezése érdekében.</w:t>
            </w:r>
          </w:p>
          <w:p w:rsidR="007042CC" w:rsidRDefault="007042CC" w:rsidP="007042CC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pszichopedagógia</w:t>
            </w:r>
            <w:proofErr w:type="spellEnd"/>
            <w:r>
              <w:rPr>
                <w:sz w:val="22"/>
                <w:szCs w:val="22"/>
              </w:rPr>
              <w:t xml:space="preserve"> területén belül képes értelmezni a fogyatékossággal kapcsolatos orvosi diagnózisokat, vizsgálati eredményeket.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bármely életkorban az érzelmi- és viselkedészavarral összefüggő tanulási- és magatartási mintázatokat értelmezni, azok hátterét, kialakulásának módját figyelembe véve gyógypedagógiai diagnózist felállítani, majd fejlesztő eljárásokat megtervezni és kivitelezni.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</w:t>
            </w:r>
            <w:r w:rsidRPr="00B4120A">
              <w:rPr>
                <w:sz w:val="22"/>
                <w:szCs w:val="22"/>
              </w:rPr>
              <w:t xml:space="preserve">felismerni a pszichés fejlődés zavarait, valamint a rendszerint gyermek- vagy serdülőkori kezdettel megjelenő érzelmi- és viselkedészavarokat, szociális-szocializációs nehézségeket, </w:t>
            </w:r>
            <w:proofErr w:type="spellStart"/>
            <w:r w:rsidRPr="00B4120A">
              <w:rPr>
                <w:sz w:val="22"/>
                <w:szCs w:val="22"/>
              </w:rPr>
              <w:t>pszichoszociális</w:t>
            </w:r>
            <w:proofErr w:type="spellEnd"/>
            <w:r w:rsidRPr="00B4120A">
              <w:rPr>
                <w:sz w:val="22"/>
                <w:szCs w:val="22"/>
              </w:rPr>
              <w:t xml:space="preserve"> fogyatékosságot, tanulási zavarokat, és az érintett személyek gyógypedagógiai ellátására irányuló komplex tevékenységet végezni.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fent nevezett népesség ellátását a </w:t>
            </w:r>
            <w:proofErr w:type="spellStart"/>
            <w:r w:rsidRPr="00B4120A">
              <w:rPr>
                <w:sz w:val="22"/>
                <w:szCs w:val="22"/>
              </w:rPr>
              <w:t>bio-pszicho-szociális</w:t>
            </w:r>
            <w:proofErr w:type="spellEnd"/>
            <w:r w:rsidRPr="00B4120A">
              <w:rPr>
                <w:sz w:val="22"/>
                <w:szCs w:val="22"/>
              </w:rPr>
              <w:t xml:space="preserve"> szempontú gondoskodás mentén végzi el a gyermekek, fiatalok támogató nevelésével, fejlesztési foglalkoztatásával, krízisintervenciós, habilitációs/rehabilitációs célú gondozásával, az eredményes (re</w:t>
            </w:r>
            <w:proofErr w:type="gramStart"/>
            <w:r w:rsidRPr="00B4120A">
              <w:rPr>
                <w:sz w:val="22"/>
                <w:szCs w:val="22"/>
              </w:rPr>
              <w:t>)szocializáció</w:t>
            </w:r>
            <w:proofErr w:type="gramEnd"/>
            <w:r w:rsidRPr="00B4120A">
              <w:rPr>
                <w:sz w:val="22"/>
                <w:szCs w:val="22"/>
              </w:rPr>
              <w:t xml:space="preserve"> elősegítése</w:t>
            </w:r>
            <w:r>
              <w:rPr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 xml:space="preserve"> és a gyermeki, tanulói képességek optimumának elérése érdekében.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6"/>
              </w:numPr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Tevékenységében a bizonyítékokon alapuló ellátási formák nyilvánulnak meg, melyeket a köznevelési, szociális-, gyermekvédelmi alap- és szakellátásban, a büntetés-végrehajtásban és egészségügyi intézményrendszerben alkalmazhat, és melyek az érintett népességcsoportokra, valamint családjaik sokrétű </w:t>
            </w:r>
            <w:proofErr w:type="spellStart"/>
            <w:r w:rsidRPr="00B4120A">
              <w:rPr>
                <w:sz w:val="22"/>
                <w:szCs w:val="22"/>
              </w:rPr>
              <w:t>szupportív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ellátására irányulnak.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 ellátásban részesíti azon kiemelt figyelmet igénylő személyek csoportját, akik különleges bánásmódot igényelnek, azon belül sajátos nevelési igényűek, egyéb pszichés fejlődési, súlyos tanulási, figyelem- vagy magatartásszabályozási zavarral küzdenek. 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Együttműködik a beilleszkedési, tanulási, érzelmi- és viselkedészavart mutató személy közvetlen környezetével és az őt ellátó szakmai közösség tagjaival.</w:t>
            </w:r>
          </w:p>
          <w:p w:rsidR="007042CC" w:rsidRPr="00B4120A" w:rsidRDefault="007042CC" w:rsidP="007042C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Együttműködik a hátrányos helyzetű, halmozottan hátrányos helyzetű, deviáns magatartást mutató, a veszélyeztetett, a bántalmazott és </w:t>
            </w:r>
            <w:proofErr w:type="spellStart"/>
            <w:r w:rsidRPr="00B4120A">
              <w:rPr>
                <w:sz w:val="22"/>
                <w:szCs w:val="22"/>
              </w:rPr>
              <w:t>neglektizált</w:t>
            </w:r>
            <w:proofErr w:type="spellEnd"/>
            <w:r w:rsidRPr="00B4120A">
              <w:rPr>
                <w:sz w:val="22"/>
                <w:szCs w:val="22"/>
              </w:rPr>
              <w:t xml:space="preserve"> gyermekek közvetlen környezetével </w:t>
            </w:r>
            <w:r w:rsidRPr="00B4120A">
              <w:rPr>
                <w:sz w:val="22"/>
                <w:szCs w:val="22"/>
              </w:rPr>
              <w:lastRenderedPageBreak/>
              <w:t xml:space="preserve">és az ellátást biztosító egyéb szakmai </w:t>
            </w:r>
            <w:proofErr w:type="spellStart"/>
            <w:r w:rsidRPr="00B4120A">
              <w:rPr>
                <w:sz w:val="22"/>
                <w:szCs w:val="22"/>
              </w:rPr>
              <w:t>team-mel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</w:p>
          <w:p w:rsidR="007042CC" w:rsidRPr="009F782C" w:rsidRDefault="007042CC" w:rsidP="007042CC">
            <w:pPr>
              <w:pStyle w:val="Listaszerbekezds"/>
              <w:numPr>
                <w:ilvl w:val="0"/>
                <w:numId w:val="9"/>
              </w:numPr>
              <w:suppressAutoHyphens/>
              <w:rPr>
                <w:b/>
                <w:sz w:val="22"/>
                <w:szCs w:val="22"/>
              </w:rPr>
            </w:pPr>
            <w:r w:rsidRPr="009F782C">
              <w:rPr>
                <w:b/>
                <w:sz w:val="22"/>
                <w:szCs w:val="22"/>
              </w:rPr>
              <w:t>attitűdje</w:t>
            </w:r>
          </w:p>
          <w:p w:rsidR="007042CC" w:rsidRDefault="007042CC" w:rsidP="009E11B6">
            <w:pPr>
              <w:pStyle w:val="Listaszerbekezds"/>
              <w:suppressAutoHyphens/>
              <w:ind w:left="601" w:hanging="20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Pr="009F782C">
              <w:rPr>
                <w:bCs/>
                <w:iCs/>
                <w:sz w:val="22"/>
                <w:szCs w:val="22"/>
              </w:rPr>
              <w:t>Nyitott innovatív elképzelések és megoldások megismerésére, törekszik a bizonyíték alapú módszerek alkalmazására.</w:t>
            </w:r>
          </w:p>
          <w:p w:rsidR="007042CC" w:rsidRPr="00880780" w:rsidRDefault="007042CC" w:rsidP="009E11B6">
            <w:pPr>
              <w:pStyle w:val="Listaszerbekezds"/>
              <w:suppressAutoHyphens/>
              <w:ind w:left="601" w:hanging="207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Tiszteletben tartja mások kompetencia határait, a team munka során határozattan képviseli tapasztalati tudását.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3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Felelősen képviseli az adott téma szakszerű és korrekt (adott) idegen nyelvi meghatározásait, és ezeket a konkrét kommunikációs szituáció, az adott szociokulturális háttér figyelembe vételével és a változó világra való nyitottsággal használja. </w:t>
            </w:r>
          </w:p>
          <w:p w:rsidR="007042CC" w:rsidRDefault="007042CC" w:rsidP="007042CC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7042CC" w:rsidRPr="00825CC8" w:rsidRDefault="007042CC" w:rsidP="007042CC">
            <w:pPr>
              <w:pStyle w:val="Listaszerbekezds"/>
              <w:numPr>
                <w:ilvl w:val="0"/>
                <w:numId w:val="2"/>
              </w:numPr>
              <w:tabs>
                <w:tab w:val="left" w:pos="601"/>
              </w:tabs>
              <w:suppressAutoHyphens/>
              <w:ind w:firstLine="20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Tudományosan és módszertanilag megalapozott fogyatékosságügyi és gyógypedagógiai nézeteit és döntéseit felelősséggel vállalja.</w:t>
            </w:r>
          </w:p>
          <w:p w:rsidR="007042CC" w:rsidRDefault="007042CC" w:rsidP="007042CC">
            <w:pPr>
              <w:pStyle w:val="Listaszerbekezds"/>
              <w:numPr>
                <w:ilvl w:val="0"/>
                <w:numId w:val="2"/>
              </w:numPr>
              <w:suppressAutoHyphens/>
              <w:ind w:left="601" w:hanging="283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Krízis és válsághelyzet esetén hatékony tanácsot ad, segítséget nyújt, vagy kér.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2"/>
              </w:numPr>
              <w:suppressAutoHyphens/>
              <w:ind w:left="601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7042CC" w:rsidRPr="00B4120A" w:rsidRDefault="007042CC" w:rsidP="007042CC">
            <w:pPr>
              <w:pStyle w:val="Listaszerbekezds"/>
              <w:numPr>
                <w:ilvl w:val="0"/>
                <w:numId w:val="2"/>
              </w:numPr>
              <w:suppressAutoHyphens/>
              <w:ind w:left="601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Munkáját 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team-ben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aktívan vesz részt.</w:t>
            </w:r>
          </w:p>
        </w:tc>
      </w:tr>
      <w:tr w:rsidR="007042CC" w:rsidRPr="00B4120A" w:rsidTr="009E11B6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Pászthy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Bea,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gyermek és ifjúságpszichiáter, </w:t>
            </w:r>
            <w:proofErr w:type="spellStart"/>
            <w:r w:rsidRPr="00B4120A">
              <w:rPr>
                <w:b/>
                <w:sz w:val="22"/>
                <w:szCs w:val="22"/>
              </w:rPr>
              <w:t>pszichoterapeuta</w:t>
            </w:r>
            <w:proofErr w:type="spellEnd"/>
            <w:r w:rsidRPr="00B4120A">
              <w:rPr>
                <w:b/>
                <w:sz w:val="22"/>
                <w:szCs w:val="22"/>
              </w:rPr>
              <w:t>, egyetemi docens, óraadó</w:t>
            </w:r>
          </w:p>
        </w:tc>
      </w:tr>
      <w:tr w:rsidR="007042CC" w:rsidRPr="00B4120A" w:rsidTr="009E11B6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042CC" w:rsidRPr="00B4120A" w:rsidRDefault="007042C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Pr="00B4120A">
              <w:rPr>
                <w:sz w:val="22"/>
                <w:szCs w:val="22"/>
              </w:rPr>
              <w:t xml:space="preserve">Dr. Szerdahelyi Ferenc, gyermekpszichiáter, </w:t>
            </w:r>
            <w:proofErr w:type="spellStart"/>
            <w:r w:rsidRPr="00B4120A">
              <w:rPr>
                <w:sz w:val="22"/>
                <w:szCs w:val="22"/>
              </w:rPr>
              <w:t>pszichoterapeuta</w:t>
            </w:r>
            <w:proofErr w:type="spellEnd"/>
            <w:r w:rsidRPr="00B4120A">
              <w:rPr>
                <w:sz w:val="22"/>
                <w:szCs w:val="22"/>
              </w:rPr>
              <w:t>, óraadó</w:t>
            </w:r>
          </w:p>
        </w:tc>
      </w:tr>
    </w:tbl>
    <w:p w:rsidR="007042CC" w:rsidRPr="00B4120A" w:rsidRDefault="007042CC" w:rsidP="007042CC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43"/>
    <w:multiLevelType w:val="hybridMultilevel"/>
    <w:tmpl w:val="6F2C8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A7AE9"/>
    <w:multiLevelType w:val="hybridMultilevel"/>
    <w:tmpl w:val="3AAA038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6A5C"/>
    <w:multiLevelType w:val="hybridMultilevel"/>
    <w:tmpl w:val="34865F5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05794E"/>
    <w:multiLevelType w:val="hybridMultilevel"/>
    <w:tmpl w:val="04D023C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6998"/>
    <w:multiLevelType w:val="hybridMultilevel"/>
    <w:tmpl w:val="5EA2DF32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3C2D"/>
    <w:multiLevelType w:val="hybridMultilevel"/>
    <w:tmpl w:val="741E475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0BE74FC"/>
    <w:multiLevelType w:val="hybridMultilevel"/>
    <w:tmpl w:val="4C2C90E0"/>
    <w:lvl w:ilvl="0" w:tplc="4FC0D71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CC"/>
    <w:rsid w:val="007042CC"/>
    <w:rsid w:val="00753E5D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7042CC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7042C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7042CC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042CC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7042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7042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042C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042C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7042CC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7042C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7042CC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042CC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7042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7042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042C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042C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2018-07-03T13:47:00Z</dcterms:created>
  <dcterms:modified xsi:type="dcterms:W3CDTF">2018-07-04T12:55:00Z</dcterms:modified>
</cp:coreProperties>
</file>