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C3" w:rsidRPr="00B4120A" w:rsidRDefault="004B47C3" w:rsidP="004B47C3">
      <w:pPr>
        <w:suppressAutoHyphens/>
        <w:rPr>
          <w:color w:val="333399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2"/>
        <w:gridCol w:w="2686"/>
      </w:tblGrid>
      <w:tr w:rsidR="004B47C3" w:rsidRPr="00B4120A" w:rsidTr="009E11B6">
        <w:tc>
          <w:tcPr>
            <w:tcW w:w="6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7C3" w:rsidRPr="00B4120A" w:rsidRDefault="004B47C3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Hadarás</w:t>
            </w:r>
            <w:r>
              <w:rPr>
                <w:b/>
                <w:sz w:val="22"/>
                <w:szCs w:val="22"/>
              </w:rPr>
              <w:t xml:space="preserve"> NBP_GP143G2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7C3" w:rsidRPr="00B4120A" w:rsidRDefault="004B47C3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2</w:t>
            </w:r>
          </w:p>
        </w:tc>
      </w:tr>
      <w:tr w:rsidR="004B47C3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7C3" w:rsidRPr="00B4120A" w:rsidRDefault="004B47C3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kötelező</w:t>
            </w:r>
          </w:p>
        </w:tc>
      </w:tr>
      <w:tr w:rsidR="004B47C3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7C3" w:rsidRPr="00B4120A" w:rsidRDefault="004B47C3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100% gyakorlat</w:t>
            </w:r>
          </w:p>
        </w:tc>
      </w:tr>
      <w:tr w:rsidR="004B47C3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7C3" w:rsidRPr="00B4120A" w:rsidRDefault="004B47C3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szeminárium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30 az adott </w:t>
            </w:r>
            <w:r w:rsidRPr="00B4120A">
              <w:rPr>
                <w:b/>
                <w:sz w:val="22"/>
                <w:szCs w:val="22"/>
              </w:rPr>
              <w:t>félévben</w:t>
            </w:r>
          </w:p>
          <w:p w:rsidR="004B47C3" w:rsidRPr="00B4120A" w:rsidRDefault="004B47C3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>: Terápiás módszerek elemzése videotechnikával, dokumentumelemzések, hadaró gyermekekről/felnőttekről szóló esetismertetések feldolgozása, vizsgálati és terápiás technikák gyakorlása szerepjátékokban (érzékenyítés, saját élmény).</w:t>
            </w:r>
          </w:p>
        </w:tc>
      </w:tr>
      <w:tr w:rsidR="004B47C3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7C3" w:rsidRPr="00B4120A" w:rsidRDefault="004B47C3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="00AC359E">
              <w:rPr>
                <w:sz w:val="22"/>
                <w:szCs w:val="22"/>
              </w:rPr>
              <w:t>módja. gyakorlati jegy</w:t>
            </w:r>
            <w:bookmarkStart w:id="0" w:name="_GoBack"/>
            <w:bookmarkEnd w:id="0"/>
          </w:p>
          <w:p w:rsidR="004B47C3" w:rsidRPr="00B4120A" w:rsidRDefault="004B47C3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 xml:space="preserve">módok : </w:t>
            </w:r>
            <w:r w:rsidRPr="00B4120A">
              <w:rPr>
                <w:sz w:val="22"/>
                <w:szCs w:val="22"/>
              </w:rPr>
              <w:t>Tematikus prezentáció készítése kiscsoportban a hadaró gyermekekről, esettanulmány bekérése egy hadaró óvodás/</w:t>
            </w:r>
            <w:proofErr w:type="gramStart"/>
            <w:r w:rsidRPr="00B4120A">
              <w:rPr>
                <w:sz w:val="22"/>
                <w:szCs w:val="22"/>
              </w:rPr>
              <w:t>iskolás korú</w:t>
            </w:r>
            <w:proofErr w:type="gramEnd"/>
            <w:r w:rsidRPr="00B4120A">
              <w:rPr>
                <w:sz w:val="22"/>
                <w:szCs w:val="22"/>
              </w:rPr>
              <w:t xml:space="preserve"> gyermekről. </w:t>
            </w:r>
          </w:p>
        </w:tc>
      </w:tr>
      <w:tr w:rsidR="004B47C3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7C3" w:rsidRPr="00B4120A" w:rsidRDefault="004B47C3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7. félév</w:t>
            </w:r>
          </w:p>
        </w:tc>
      </w:tr>
      <w:tr w:rsidR="004B47C3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7C3" w:rsidRPr="00B4120A" w:rsidRDefault="004B47C3" w:rsidP="00A834F3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feltételek: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="00B9317E" w:rsidRPr="00B4120A">
              <w:rPr>
                <w:b/>
                <w:sz w:val="22"/>
                <w:szCs w:val="22"/>
              </w:rPr>
              <w:t>Logopédiai alapismeretek</w:t>
            </w:r>
            <w:r w:rsidR="00B9317E">
              <w:rPr>
                <w:b/>
                <w:sz w:val="22"/>
                <w:szCs w:val="22"/>
              </w:rPr>
              <w:t xml:space="preserve"> NBP_GP130K2, </w:t>
            </w:r>
            <w:r w:rsidR="00A834F3" w:rsidRPr="00A834F3">
              <w:rPr>
                <w:b/>
                <w:sz w:val="22"/>
                <w:szCs w:val="22"/>
              </w:rPr>
              <w:t>Logopédiai alkalmassági vizsga</w:t>
            </w:r>
            <w:r w:rsidR="00A834F3">
              <w:rPr>
                <w:b/>
                <w:sz w:val="22"/>
                <w:szCs w:val="22"/>
              </w:rPr>
              <w:t xml:space="preserve"> NBP_GP233A0</w:t>
            </w:r>
          </w:p>
        </w:tc>
      </w:tr>
      <w:tr w:rsidR="004B47C3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7C3" w:rsidRPr="00B4120A" w:rsidRDefault="004B47C3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4B47C3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4B47C3" w:rsidRPr="00B4120A" w:rsidRDefault="004B47C3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</w:t>
            </w:r>
            <w:r w:rsidRPr="00B4120A">
              <w:rPr>
                <w:sz w:val="22"/>
                <w:szCs w:val="22"/>
              </w:rPr>
              <w:t>: A hallgatók felkészítése a különböző típusba sorolható hadaró gyermekek felismerésére és terápiás ellátására. Elméleti és módszertani ismeretek bővítése a hadaró gyermekek személyiségének megismerésére, a személyiség fejlődését befolyásoló szűkebb/tágabb környezeti tényezők feltérképezésére. Pedagógiai kompetencia kialakítása a hadarás terápiájának végzésére, módszerek/technikák alkalmazása, pedagógiai megfigyelés, dokumentumelemzés.  A hallgatók felkészítése a hadarók személyiségéhez illeszkedő terápiás beavatkozások tervezésére.</w:t>
            </w:r>
          </w:p>
          <w:p w:rsidR="004B47C3" w:rsidRPr="00B4120A" w:rsidRDefault="004B47C3" w:rsidP="009E11B6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</w:p>
          <w:p w:rsidR="004B47C3" w:rsidRPr="00B4120A" w:rsidRDefault="004B47C3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 - A hadarás általános jellemzői (meghatározása, gyakorisága)</w:t>
            </w:r>
          </w:p>
          <w:p w:rsidR="004B47C3" w:rsidRPr="00B4120A" w:rsidRDefault="004B47C3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- A hadarás eszközvizsgálati megközelítése (EEG, légzés, hangképzés, prozódia)</w:t>
            </w:r>
          </w:p>
          <w:p w:rsidR="004B47C3" w:rsidRPr="00B4120A" w:rsidRDefault="004B47C3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- A hadarás tünetei</w:t>
            </w:r>
          </w:p>
          <w:p w:rsidR="004B47C3" w:rsidRPr="00B4120A" w:rsidRDefault="004B47C3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- A hadarás, dadogás elkülönítése</w:t>
            </w:r>
          </w:p>
          <w:p w:rsidR="004B47C3" w:rsidRPr="00B4120A" w:rsidRDefault="004B47C3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- A hadarók pszichés sajátosságai (személyiségjegyek, intelligencia)</w:t>
            </w:r>
          </w:p>
          <w:p w:rsidR="004B47C3" w:rsidRPr="00B4120A" w:rsidRDefault="004B47C3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- A hadarás </w:t>
            </w:r>
            <w:proofErr w:type="spellStart"/>
            <w:r w:rsidRPr="00B4120A">
              <w:rPr>
                <w:sz w:val="22"/>
                <w:szCs w:val="22"/>
              </w:rPr>
              <w:t>etiológiája</w:t>
            </w:r>
            <w:proofErr w:type="spellEnd"/>
          </w:p>
          <w:p w:rsidR="004B47C3" w:rsidRPr="00B4120A" w:rsidRDefault="004B47C3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- A hadarás fajtái </w:t>
            </w:r>
          </w:p>
          <w:p w:rsidR="004B47C3" w:rsidRPr="00B4120A" w:rsidRDefault="004B47C3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- A hadarás vizsgálata</w:t>
            </w:r>
          </w:p>
          <w:p w:rsidR="004B47C3" w:rsidRPr="00B4120A" w:rsidRDefault="004B47C3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- A hadarás kezelése (fontosabb gyakorlatok)</w:t>
            </w:r>
          </w:p>
        </w:tc>
      </w:tr>
      <w:tr w:rsidR="004B47C3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B47C3" w:rsidRPr="00B4120A" w:rsidRDefault="004B47C3" w:rsidP="009E11B6">
            <w:pPr>
              <w:suppressAutoHyphens/>
              <w:ind w:right="-108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 xml:space="preserve">(jegyzet, tankönyv) felsorolása bibliográfiai </w:t>
            </w:r>
          </w:p>
          <w:p w:rsidR="004B47C3" w:rsidRPr="00B4120A" w:rsidRDefault="004B47C3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adatokkal (szerző, cím, kiadás adatai, (esetleg oldalak), ISBN)</w:t>
            </w:r>
          </w:p>
        </w:tc>
      </w:tr>
      <w:tr w:rsidR="004B47C3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4B47C3" w:rsidRPr="00B4120A" w:rsidRDefault="004B47C3" w:rsidP="009E11B6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Kötelező irodalom:</w:t>
            </w:r>
          </w:p>
          <w:p w:rsidR="004B47C3" w:rsidRPr="00B4120A" w:rsidRDefault="004B47C3" w:rsidP="004B47C3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Vassné dr. Kovács Emőke: A hadarás. Eötvös József Könyvkiadó. Budapest. 2011.</w:t>
            </w:r>
          </w:p>
          <w:p w:rsidR="004B47C3" w:rsidRPr="00B4120A" w:rsidRDefault="004B47C3" w:rsidP="004B47C3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Vassné Kovács Emőke: (szerk.): Szemelvények a hadarás témaköréből. A BGGYTF jegyzete. Tankönyvkiadó. Budapest 1991.</w:t>
            </w:r>
          </w:p>
          <w:p w:rsidR="004B47C3" w:rsidRPr="00B4120A" w:rsidRDefault="004B47C3" w:rsidP="004B47C3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Dr. Lajos Péter: A </w:t>
            </w:r>
            <w:proofErr w:type="spellStart"/>
            <w:r w:rsidRPr="00B4120A">
              <w:rPr>
                <w:sz w:val="22"/>
                <w:szCs w:val="22"/>
              </w:rPr>
              <w:t>rituálinnovatív</w:t>
            </w:r>
            <w:proofErr w:type="spellEnd"/>
            <w:r w:rsidRPr="00B4120A">
              <w:rPr>
                <w:sz w:val="22"/>
                <w:szCs w:val="22"/>
              </w:rPr>
              <w:t xml:space="preserve"> terápia (RIT) eredményessége a logopédiában.  Budapest 1999</w:t>
            </w:r>
          </w:p>
          <w:p w:rsidR="004B47C3" w:rsidRPr="00B4120A" w:rsidRDefault="004B47C3" w:rsidP="009E11B6">
            <w:pPr>
              <w:pStyle w:val="Listaszerbekezds"/>
              <w:suppressAutoHyphens/>
              <w:ind w:left="0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Ajánlott irodalom:</w:t>
            </w:r>
          </w:p>
          <w:p w:rsidR="004B47C3" w:rsidRPr="00B4120A" w:rsidRDefault="004B47C3" w:rsidP="004B47C3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Lajos Péter: A </w:t>
            </w:r>
            <w:proofErr w:type="spellStart"/>
            <w:r w:rsidRPr="00B4120A">
              <w:rPr>
                <w:sz w:val="22"/>
                <w:szCs w:val="22"/>
              </w:rPr>
              <w:t>rituálinnovatív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gramStart"/>
            <w:r w:rsidRPr="00B4120A">
              <w:rPr>
                <w:sz w:val="22"/>
                <w:szCs w:val="22"/>
              </w:rPr>
              <w:t>terápia(</w:t>
            </w:r>
            <w:proofErr w:type="gramEnd"/>
            <w:r w:rsidRPr="00B4120A">
              <w:rPr>
                <w:sz w:val="22"/>
                <w:szCs w:val="22"/>
              </w:rPr>
              <w:t>RIT)hatékonyságának vizsgálata I. Kézirat. Budapest, 1992.</w:t>
            </w:r>
          </w:p>
          <w:p w:rsidR="004B47C3" w:rsidRPr="00B4120A" w:rsidRDefault="004B47C3" w:rsidP="004B47C3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Palotás Gábor: A hadarásról. Kézirat. Budapest, 1970.</w:t>
            </w:r>
          </w:p>
          <w:p w:rsidR="004B47C3" w:rsidRPr="00B4120A" w:rsidRDefault="004B47C3" w:rsidP="004B47C3">
            <w:pPr>
              <w:pStyle w:val="Listaszerbekezds"/>
              <w:numPr>
                <w:ilvl w:val="0"/>
                <w:numId w:val="2"/>
              </w:numPr>
              <w:suppressAutoHyphens/>
              <w:rPr>
                <w:i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Pálhegyi Ferenc: Személyiséglélektani</w:t>
            </w:r>
            <w:r w:rsidRPr="00B4120A">
              <w:rPr>
                <w:i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>kalauz. 2. kiadás. Tankönyvkiadó, Budapest, 1982</w:t>
            </w:r>
          </w:p>
        </w:tc>
      </w:tr>
      <w:tr w:rsidR="004B47C3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B47C3" w:rsidRPr="00B4120A" w:rsidRDefault="004B47C3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lastRenderedPageBreak/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4B47C3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4B47C3" w:rsidRPr="00B4120A" w:rsidRDefault="004B47C3" w:rsidP="004B47C3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 xml:space="preserve">tudása </w:t>
            </w:r>
          </w:p>
          <w:p w:rsidR="004B47C3" w:rsidRPr="00B4120A" w:rsidRDefault="004B47C3" w:rsidP="004B47C3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Korszerű és alapos interdiszciplináris (orvostudományi, pedagógiai, gyógypedagógiai, pszichológiai, gyógypedagógiai pszichológiai) és </w:t>
            </w:r>
            <w:proofErr w:type="spellStart"/>
            <w:r w:rsidRPr="00B4120A">
              <w:rPr>
                <w:sz w:val="22"/>
                <w:szCs w:val="22"/>
              </w:rPr>
              <w:t>intradiszciplináris</w:t>
            </w:r>
            <w:proofErr w:type="spellEnd"/>
            <w:r w:rsidRPr="00B4120A">
              <w:rPr>
                <w:sz w:val="22"/>
                <w:szCs w:val="22"/>
              </w:rPr>
              <w:t xml:space="preserve"> tudással rendelkezik a kommunikáció, a légzés, a hangadás, az izomtónus-szabályozás, valamint a folyamatos beszéd zavarairól.</w:t>
            </w:r>
          </w:p>
          <w:p w:rsidR="004B47C3" w:rsidRPr="00B4120A" w:rsidRDefault="004B47C3" w:rsidP="004B47C3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kommunikációs zavarok kultúrtörténeti, tudománytörténeti és szakmatörténeti előzményeit.</w:t>
            </w:r>
          </w:p>
          <w:p w:rsidR="004B47C3" w:rsidRPr="00B4120A" w:rsidRDefault="004B47C3" w:rsidP="004B47C3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hang a beszéd, a beszélt nyelv működésének anatómiáját és fiziológiáját, felismeri azok eltéréseit.</w:t>
            </w:r>
          </w:p>
          <w:p w:rsidR="004B47C3" w:rsidRPr="00B4120A" w:rsidRDefault="004B47C3" w:rsidP="004B47C3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logopédiai diagnosztikai folyamat átfogó rendszerét, a vizsgálatok fajtáit, célját, feladatait és lehetséges tartalmait</w:t>
            </w:r>
          </w:p>
          <w:p w:rsidR="004B47C3" w:rsidRPr="00B4120A" w:rsidRDefault="004B47C3" w:rsidP="004B47C3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hadarás diagnosztikus eszközeit, a differenciáldiagnosztikai szempontokat és a folyamatdiagnózis szerepét.</w:t>
            </w:r>
          </w:p>
          <w:p w:rsidR="004B47C3" w:rsidRPr="00B4120A" w:rsidRDefault="004B47C3" w:rsidP="004B47C3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prevenció, a terápia és az utógondozás életkor-és diagnosztika-specifikus formáit.</w:t>
            </w:r>
          </w:p>
          <w:p w:rsidR="004B47C3" w:rsidRPr="00B4120A" w:rsidRDefault="004B47C3" w:rsidP="004B47C3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logopédiával kapcsolatos hazai és nemzetközi szakirodalmat.</w:t>
            </w:r>
          </w:p>
          <w:p w:rsidR="004B47C3" w:rsidRPr="00B4120A" w:rsidRDefault="004B47C3" w:rsidP="004B47C3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4B47C3" w:rsidRPr="00B4120A" w:rsidRDefault="004B47C3" w:rsidP="004B47C3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Képes a pedagógiai folyamat differenciált irányítására, </w:t>
            </w:r>
            <w:proofErr w:type="spellStart"/>
            <w:r w:rsidRPr="00B4120A">
              <w:rPr>
                <w:sz w:val="22"/>
                <w:szCs w:val="22"/>
              </w:rPr>
              <w:t>facilitálására</w:t>
            </w:r>
            <w:proofErr w:type="spellEnd"/>
            <w:r w:rsidRPr="00B4120A">
              <w:rPr>
                <w:sz w:val="22"/>
                <w:szCs w:val="22"/>
              </w:rPr>
              <w:t>, elemzésére és értékelésére a kezeltek jellemzőinek és egyéni sajátosságainak ismeretében.</w:t>
            </w:r>
          </w:p>
          <w:p w:rsidR="004B47C3" w:rsidRPr="00B4120A" w:rsidRDefault="004B47C3" w:rsidP="004B47C3">
            <w:pPr>
              <w:numPr>
                <w:ilvl w:val="0"/>
                <w:numId w:val="4"/>
              </w:numPr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megfigyelni, feltérképezni és rögzíteni a kezeltek személyiségének, képességstruktúrájának sajátosságait, a családi közeg szociokulturális, pszichés meghatározóit.</w:t>
            </w:r>
          </w:p>
          <w:p w:rsidR="004B47C3" w:rsidRPr="00B4120A" w:rsidRDefault="004B47C3" w:rsidP="004B47C3">
            <w:pPr>
              <w:numPr>
                <w:ilvl w:val="0"/>
                <w:numId w:val="4"/>
              </w:numPr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Adaptív módon épít a kezeltek eltérő személyiségére, előzetes tapasztalataira, kompetenciáira és életkori sajátosságaira.</w:t>
            </w:r>
          </w:p>
          <w:p w:rsidR="004B47C3" w:rsidRPr="00B4120A" w:rsidRDefault="004B47C3" w:rsidP="004B47C3">
            <w:pPr>
              <w:numPr>
                <w:ilvl w:val="0"/>
                <w:numId w:val="4"/>
              </w:numPr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megtervezni, időben ütemezni és hatékonyan megvalósítani az egyénre szabott logopédiai beavatkozást.</w:t>
            </w:r>
          </w:p>
          <w:p w:rsidR="004B47C3" w:rsidRPr="00B4120A" w:rsidRDefault="004B47C3" w:rsidP="004B47C3">
            <w:pPr>
              <w:numPr>
                <w:ilvl w:val="0"/>
                <w:numId w:val="4"/>
              </w:numPr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terápiás folyamatot monitorozza, azt az eredményeknek megfelelően módosítja. A kiválasztott terápiás módszert indokolja és meghatározza a logopédiai terápia keretét.</w:t>
            </w:r>
          </w:p>
          <w:p w:rsidR="004B47C3" w:rsidRPr="00B4120A" w:rsidRDefault="004B47C3" w:rsidP="004B47C3">
            <w:pPr>
              <w:numPr>
                <w:ilvl w:val="0"/>
                <w:numId w:val="4"/>
              </w:numPr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a gyereket érintő problémák esetén segítséget nyújtani, illetve kompetenciahatárait ismerve és betartva a megfelelő szakemberhez irányítani.</w:t>
            </w:r>
          </w:p>
          <w:p w:rsidR="004B47C3" w:rsidRPr="00B4120A" w:rsidRDefault="004B47C3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4B47C3" w:rsidRPr="00B4120A" w:rsidRDefault="004B47C3" w:rsidP="004B47C3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Személyiségét előítélet-mentesség, tolerancia, szociális érzékenység, segítő attitűd jellemzi. Inkluzív és multikulturális szemlélettel rendelkezik.</w:t>
            </w:r>
          </w:p>
          <w:p w:rsidR="004B47C3" w:rsidRPr="00B4120A" w:rsidRDefault="004B47C3" w:rsidP="004B47C3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innovatív gyógypedagógiai elképzelések és megoldások megismerésében, törekszik a bizonyítékalapú módszerek alkalmazására.</w:t>
            </w:r>
          </w:p>
          <w:p w:rsidR="004B47C3" w:rsidRPr="00B4120A" w:rsidRDefault="004B47C3" w:rsidP="004B47C3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Mérlegeli a szakmai problémák sokoldalú módszertani megközelítésének lehetőségeit. A mindennapi gyógypedagógiai fejlesztő munka, a gyógypedagógiai kutatások, az innovatív tevékenységek során nyitott a team munkára.</w:t>
            </w:r>
          </w:p>
          <w:p w:rsidR="004B47C3" w:rsidRPr="00B4120A" w:rsidRDefault="004B47C3" w:rsidP="004B47C3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Törekszik az ön-és társismeret, önelfogadás, </w:t>
            </w:r>
            <w:proofErr w:type="spellStart"/>
            <w:r w:rsidRPr="00B4120A">
              <w:rPr>
                <w:sz w:val="22"/>
                <w:szCs w:val="22"/>
              </w:rPr>
              <w:t>önreflektivitás</w:t>
            </w:r>
            <w:proofErr w:type="spellEnd"/>
            <w:r w:rsidRPr="00B4120A">
              <w:rPr>
                <w:sz w:val="22"/>
                <w:szCs w:val="22"/>
              </w:rPr>
              <w:t xml:space="preserve"> fejlesztésére.</w:t>
            </w:r>
          </w:p>
          <w:p w:rsidR="004B47C3" w:rsidRPr="00B4120A" w:rsidRDefault="004B47C3" w:rsidP="004B47C3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Szakmai, nyelvi készségeit az élethosszig tartó tanulás jegyében karban tartja és fejleszti.</w:t>
            </w:r>
          </w:p>
          <w:p w:rsidR="004B47C3" w:rsidRPr="00B4120A" w:rsidRDefault="004B47C3" w:rsidP="004B47C3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Tiszteletben tartja saját és mások kompetenciahatárait, a team munka során határozottan képviseli saját szakmai elveit, tapasztalati tudását, de a hatékony együttműködés érdekében a többi résztvevő törekvéseit is érvényesülni hagyja.</w:t>
            </w:r>
          </w:p>
          <w:p w:rsidR="004B47C3" w:rsidRPr="00B4120A" w:rsidRDefault="004B47C3" w:rsidP="004B47C3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beszédfolyamatosság zavarával küzdő személyeket és </w:t>
            </w:r>
            <w:proofErr w:type="spellStart"/>
            <w:r w:rsidRPr="00B4120A">
              <w:rPr>
                <w:sz w:val="22"/>
                <w:szCs w:val="22"/>
              </w:rPr>
              <w:t>hozzátartozóikat</w:t>
            </w:r>
            <w:proofErr w:type="spellEnd"/>
            <w:r w:rsidRPr="00B4120A">
              <w:rPr>
                <w:sz w:val="22"/>
                <w:szCs w:val="22"/>
              </w:rPr>
              <w:t xml:space="preserve"> -azok igényeit figyelembe véve-informálja az alkalmazni kívánt koncepcióról, eljárásról, módszerről, terápiáról, illetve azok eredményeiről</w:t>
            </w:r>
          </w:p>
          <w:p w:rsidR="004B47C3" w:rsidRPr="00B4120A" w:rsidRDefault="004B47C3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d) autonómiája és felelőssége</w:t>
            </w:r>
          </w:p>
          <w:p w:rsidR="004B47C3" w:rsidRPr="00B4120A" w:rsidRDefault="004B47C3" w:rsidP="004B47C3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ind w:left="601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ambuláns gondozást, fejlesztést végző intézményekben: egységes</w:t>
            </w:r>
          </w:p>
          <w:p w:rsidR="004B47C3" w:rsidRPr="00B4120A" w:rsidRDefault="004B47C3" w:rsidP="004B47C3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ind w:left="601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gyógypedagógiai módszertani intézmény, pedagógiai szakszolgálat, szakmai</w:t>
            </w:r>
          </w:p>
          <w:p w:rsidR="004B47C3" w:rsidRPr="00B4120A" w:rsidRDefault="004B47C3" w:rsidP="004B47C3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ind w:left="601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szolgáltatás, illetve az integrált, inkluzív nevelést-oktatást végző köznevelési</w:t>
            </w:r>
          </w:p>
          <w:p w:rsidR="004B47C3" w:rsidRPr="00B4120A" w:rsidRDefault="004B47C3" w:rsidP="004B47C3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ind w:left="601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intézményekben a sajátos nevelési igényű illetve a gyógypedagógiai segítséget</w:t>
            </w:r>
          </w:p>
          <w:p w:rsidR="004B47C3" w:rsidRPr="00B4120A" w:rsidRDefault="004B47C3" w:rsidP="004B47C3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ind w:left="601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igénylő gyermekek, tanulók, felnőttek körében a szakirányának/szakirányainak</w:t>
            </w:r>
          </w:p>
          <w:p w:rsidR="004B47C3" w:rsidRPr="00B4120A" w:rsidRDefault="004B47C3" w:rsidP="004B47C3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ind w:left="601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megfelelő területen/területeken egyéni fejlesztési, habilitációs-rehabilitációs</w:t>
            </w:r>
          </w:p>
          <w:p w:rsidR="004B47C3" w:rsidRPr="00B4120A" w:rsidRDefault="004B47C3" w:rsidP="004B47C3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ind w:left="601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>feladatokat lát el.</w:t>
            </w:r>
          </w:p>
          <w:p w:rsidR="004B47C3" w:rsidRPr="00B4120A" w:rsidRDefault="004B47C3" w:rsidP="004B47C3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ind w:left="601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Feladata kiterjed általános gyógypedagógiai segítségnyújtásra és tanácsadásra, a fejlesztésben vagy gondozásban és a rehabilitációban közreműködő más</w:t>
            </w:r>
          </w:p>
          <w:p w:rsidR="004B47C3" w:rsidRPr="00B4120A" w:rsidRDefault="004B47C3" w:rsidP="004B47C3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szakemberekkel, illetve családokkal.</w:t>
            </w:r>
          </w:p>
          <w:p w:rsidR="004B47C3" w:rsidRPr="00B4120A" w:rsidRDefault="004B47C3" w:rsidP="004B47C3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Tudományosan és módszertanilag megalapozott fogyatékosságügyi és</w:t>
            </w:r>
          </w:p>
          <w:p w:rsidR="004B47C3" w:rsidRPr="00B4120A" w:rsidRDefault="004B47C3" w:rsidP="004B47C3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gyógypedagógiai nézeteit és döntéseit felelősséggel vállalja.</w:t>
            </w:r>
          </w:p>
          <w:p w:rsidR="004B47C3" w:rsidRPr="00B4120A" w:rsidRDefault="004B47C3" w:rsidP="004B47C3">
            <w:pPr>
              <w:pStyle w:val="Listaszerbekezds"/>
              <w:numPr>
                <w:ilvl w:val="0"/>
                <w:numId w:val="6"/>
              </w:numPr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partnerekkel előítélet-mentes, kölcsönös tiszteletre és bizalomra épülő</w:t>
            </w:r>
          </w:p>
          <w:p w:rsidR="004B47C3" w:rsidRPr="00B4120A" w:rsidRDefault="004B47C3" w:rsidP="004B47C3">
            <w:pPr>
              <w:numPr>
                <w:ilvl w:val="0"/>
                <w:numId w:val="6"/>
              </w:numPr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kapcsolatrendszert teremt, szakmai szituációkban szakszerűen, közérthetően és</w:t>
            </w:r>
          </w:p>
          <w:p w:rsidR="004B47C3" w:rsidRPr="00B4120A" w:rsidRDefault="004B47C3" w:rsidP="004B47C3">
            <w:pPr>
              <w:numPr>
                <w:ilvl w:val="0"/>
                <w:numId w:val="6"/>
              </w:numPr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hitelesen kommunikál.</w:t>
            </w:r>
          </w:p>
          <w:p w:rsidR="004B47C3" w:rsidRPr="00B4120A" w:rsidRDefault="004B47C3" w:rsidP="004B47C3">
            <w:pPr>
              <w:pStyle w:val="Listaszerbekezds"/>
              <w:numPr>
                <w:ilvl w:val="0"/>
                <w:numId w:val="6"/>
              </w:numPr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Munkáját team-</w:t>
            </w:r>
            <w:proofErr w:type="spellStart"/>
            <w:r w:rsidRPr="00B4120A">
              <w:rPr>
                <w:sz w:val="22"/>
                <w:szCs w:val="22"/>
              </w:rPr>
              <w:t>ben</w:t>
            </w:r>
            <w:proofErr w:type="spellEnd"/>
            <w:r w:rsidRPr="00B4120A">
              <w:rPr>
                <w:sz w:val="22"/>
                <w:szCs w:val="22"/>
              </w:rPr>
              <w:t xml:space="preserve"> végzi, szakmai műhelyekben aktívan vesz részt. </w:t>
            </w:r>
          </w:p>
          <w:p w:rsidR="004B47C3" w:rsidRPr="00B4120A" w:rsidRDefault="004B47C3" w:rsidP="004B47C3">
            <w:pPr>
              <w:pStyle w:val="Listaszerbekezds"/>
              <w:numPr>
                <w:ilvl w:val="0"/>
                <w:numId w:val="6"/>
              </w:numPr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</w:t>
            </w:r>
          </w:p>
          <w:p w:rsidR="004B47C3" w:rsidRPr="00B4120A" w:rsidRDefault="004B47C3" w:rsidP="004B47C3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módszertani kultúráját.</w:t>
            </w:r>
          </w:p>
        </w:tc>
      </w:tr>
      <w:tr w:rsidR="004B47C3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B47C3" w:rsidRPr="00B4120A" w:rsidRDefault="004B47C3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Tantárgy felelőse: Víghné Pogány Rózsa logopédus, szakvizsgázott pedagógus, óraadó</w:t>
            </w:r>
          </w:p>
        </w:tc>
      </w:tr>
      <w:tr w:rsidR="004B47C3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B47C3" w:rsidRPr="00B4120A" w:rsidRDefault="004B47C3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oktatásába bevont oktató:</w:t>
            </w:r>
            <w:r w:rsidRPr="00B4120A">
              <w:rPr>
                <w:sz w:val="22"/>
                <w:szCs w:val="22"/>
              </w:rPr>
              <w:t xml:space="preserve"> Pacza Beáta logopédus, pszichológus, szakvizsgázott pedagógus, óraadó</w:t>
            </w:r>
          </w:p>
        </w:tc>
      </w:tr>
    </w:tbl>
    <w:p w:rsidR="004B47C3" w:rsidRPr="00B4120A" w:rsidRDefault="004B47C3" w:rsidP="004B47C3">
      <w:pPr>
        <w:suppressAutoHyphens/>
        <w:spacing w:after="60"/>
        <w:jc w:val="both"/>
        <w:rPr>
          <w:i/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F48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5D1010"/>
    <w:multiLevelType w:val="hybridMultilevel"/>
    <w:tmpl w:val="DBEC8528"/>
    <w:lvl w:ilvl="0" w:tplc="57025882">
      <w:start w:val="12"/>
      <w:numFmt w:val="bullet"/>
      <w:lvlText w:val="-"/>
      <w:lvlJc w:val="left"/>
      <w:pPr>
        <w:ind w:left="1037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41772CF8"/>
    <w:multiLevelType w:val="hybridMultilevel"/>
    <w:tmpl w:val="E850FB2C"/>
    <w:lvl w:ilvl="0" w:tplc="57025882">
      <w:start w:val="12"/>
      <w:numFmt w:val="bullet"/>
      <w:lvlText w:val="-"/>
      <w:lvlJc w:val="left"/>
      <w:pPr>
        <w:ind w:left="896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4DD40E49"/>
    <w:multiLevelType w:val="hybridMultilevel"/>
    <w:tmpl w:val="9356E7CC"/>
    <w:lvl w:ilvl="0" w:tplc="57025882">
      <w:start w:val="12"/>
      <w:numFmt w:val="bullet"/>
      <w:lvlText w:val="-"/>
      <w:lvlJc w:val="left"/>
      <w:pPr>
        <w:ind w:left="1037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6433377E"/>
    <w:multiLevelType w:val="hybridMultilevel"/>
    <w:tmpl w:val="22381E96"/>
    <w:lvl w:ilvl="0" w:tplc="10DAD04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A0C8E"/>
    <w:multiLevelType w:val="hybridMultilevel"/>
    <w:tmpl w:val="9C20FC50"/>
    <w:lvl w:ilvl="0" w:tplc="57025882">
      <w:start w:val="12"/>
      <w:numFmt w:val="bullet"/>
      <w:lvlText w:val="-"/>
      <w:lvlJc w:val="left"/>
      <w:pPr>
        <w:ind w:left="896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C3"/>
    <w:rsid w:val="004B47C3"/>
    <w:rsid w:val="00A834F3"/>
    <w:rsid w:val="00AC359E"/>
    <w:rsid w:val="00B9317E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D146"/>
  <w15:docId w15:val="{BE61524D-A0C5-4BEA-AA54-DDE7240B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4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l"/>
    <w:rsid w:val="004B47C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4B47C3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4B47C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4</cp:revision>
  <dcterms:created xsi:type="dcterms:W3CDTF">2018-07-03T13:41:00Z</dcterms:created>
  <dcterms:modified xsi:type="dcterms:W3CDTF">2021-08-25T10:04:00Z</dcterms:modified>
</cp:coreProperties>
</file>