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44" w:rsidRPr="00B4120A" w:rsidRDefault="009E1544" w:rsidP="009E1544">
      <w:pPr>
        <w:suppressAutoHyphens/>
        <w:rPr>
          <w:color w:val="FF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680"/>
      </w:tblGrid>
      <w:tr w:rsidR="009E1544" w:rsidRPr="00B4120A" w:rsidTr="009E11B6">
        <w:tc>
          <w:tcPr>
            <w:tcW w:w="6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pStyle w:val="Lbjegyzetszveg"/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AA0F4A">
              <w:rPr>
                <w:b/>
                <w:sz w:val="22"/>
                <w:szCs w:val="22"/>
              </w:rPr>
              <w:t>Beszéd és nyelvfejlődési zavarok anatómiája és kórtana</w:t>
            </w:r>
            <w:r>
              <w:rPr>
                <w:b/>
                <w:sz w:val="22"/>
                <w:szCs w:val="22"/>
              </w:rPr>
              <w:t xml:space="preserve"> NBP_GP128K3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besorolása: </w:t>
            </w:r>
            <w:r w:rsidRPr="00AA0F4A">
              <w:rPr>
                <w:b/>
                <w:sz w:val="22"/>
                <w:szCs w:val="22"/>
              </w:rPr>
              <w:t>kötelező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100% elmélet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előadás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AA0F4A">
              <w:rPr>
                <w:b/>
                <w:sz w:val="22"/>
                <w:szCs w:val="22"/>
              </w:rPr>
              <w:t>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oktatása során az előadást színesítő, </w:t>
            </w:r>
            <w:proofErr w:type="spellStart"/>
            <w:r w:rsidRPr="00B4120A">
              <w:rPr>
                <w:sz w:val="22"/>
                <w:szCs w:val="22"/>
              </w:rPr>
              <w:t>audio</w:t>
            </w:r>
            <w:proofErr w:type="spellEnd"/>
            <w:r w:rsidRPr="00B4120A">
              <w:rPr>
                <w:sz w:val="22"/>
                <w:szCs w:val="22"/>
              </w:rPr>
              <w:t>-vizuális eszközökkel történő demonstrációkkal, esetbemutatásokkal találkoznak a hallgatók.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>:</w:t>
            </w:r>
            <w:r w:rsidRPr="00B4120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kollokvium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9E1544" w:rsidRPr="00B4120A" w:rsidRDefault="009E15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</w:t>
            </w:r>
          </w:p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Folyamatos számonkérés a tanultak elsajátításáról, év végén szóbeli/írásbeli vizsga. 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AA0F4A">
              <w:rPr>
                <w:b/>
                <w:sz w:val="22"/>
                <w:szCs w:val="22"/>
              </w:rPr>
              <w:t>4. félév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A4BC9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9A4BC9" w:rsidRPr="00D56062">
              <w:rPr>
                <w:b/>
                <w:sz w:val="22"/>
                <w:szCs w:val="22"/>
              </w:rPr>
              <w:t>Funkcio</w:t>
            </w:r>
            <w:bookmarkStart w:id="0" w:name="_GoBack"/>
            <w:bookmarkEnd w:id="0"/>
            <w:r w:rsidR="009A4BC9" w:rsidRPr="00D56062">
              <w:rPr>
                <w:b/>
                <w:sz w:val="22"/>
                <w:szCs w:val="22"/>
              </w:rPr>
              <w:t>nális anatómia I. NBP_GP102K2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9E1544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bCs/>
                <w:sz w:val="22"/>
                <w:szCs w:val="22"/>
              </w:rPr>
              <w:t xml:space="preserve">A tantárgy célja, </w:t>
            </w:r>
            <w:r w:rsidRPr="00B4120A">
              <w:rPr>
                <w:sz w:val="22"/>
                <w:szCs w:val="22"/>
              </w:rPr>
              <w:t xml:space="preserve">hogy a hallgatók ismerjék meg a beszéd- és nyelvfejlődésben szerepet játszó anatómiai képletek, fejlődési sajátosságait és zavarait, a beszéd- és nyelvfejlődés kórtanát. Cél, hogy a témával kapcsolatos szakkifejezéseket értsék és használni tudják, a beszéd- és nyelvfejlődés diagnosztikája és fejlesztése során a vonatkozó anatómiai és kórtani ismereteiket a hallgatók alkalmazni tudják.   </w:t>
            </w:r>
          </w:p>
          <w:p w:rsidR="009E1544" w:rsidRPr="00B4120A" w:rsidRDefault="009E1544" w:rsidP="009E11B6">
            <w:pPr>
              <w:jc w:val="both"/>
              <w:rPr>
                <w:sz w:val="22"/>
                <w:szCs w:val="22"/>
              </w:rPr>
            </w:pPr>
          </w:p>
          <w:p w:rsidR="009E1544" w:rsidRPr="00B4120A" w:rsidRDefault="009E1544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9E1544" w:rsidRPr="00B4120A" w:rsidRDefault="009E1544" w:rsidP="009E1544">
            <w:pPr>
              <w:numPr>
                <w:ilvl w:val="0"/>
                <w:numId w:val="3"/>
              </w:numPr>
              <w:shd w:val="clear" w:color="auto" w:fill="FFF2CC"/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beszéd és énekhangképzés fiziológiája és akusztikája </w:t>
            </w:r>
          </w:p>
          <w:p w:rsidR="009E1544" w:rsidRPr="00B4120A" w:rsidRDefault="009E1544" w:rsidP="009E1544">
            <w:pPr>
              <w:numPr>
                <w:ilvl w:val="0"/>
                <w:numId w:val="3"/>
              </w:numPr>
              <w:shd w:val="clear" w:color="auto" w:fill="FFF2CC"/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hangképző rendszer működése </w:t>
            </w:r>
          </w:p>
          <w:p w:rsidR="009E1544" w:rsidRPr="00B4120A" w:rsidRDefault="009E1544" w:rsidP="009E1544">
            <w:pPr>
              <w:numPr>
                <w:ilvl w:val="0"/>
                <w:numId w:val="3"/>
              </w:numPr>
              <w:shd w:val="clear" w:color="auto" w:fill="FFF2CC"/>
              <w:ind w:left="459" w:hanging="283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Fonációs</w:t>
            </w:r>
            <w:proofErr w:type="spellEnd"/>
            <w:r w:rsidRPr="00B4120A">
              <w:rPr>
                <w:sz w:val="22"/>
                <w:szCs w:val="22"/>
              </w:rPr>
              <w:t xml:space="preserve"> légzés és szabályozása</w:t>
            </w:r>
          </w:p>
          <w:p w:rsidR="009E1544" w:rsidRPr="00B4120A" w:rsidRDefault="009E1544" w:rsidP="009E1544">
            <w:pPr>
              <w:numPr>
                <w:ilvl w:val="0"/>
                <w:numId w:val="3"/>
              </w:numPr>
              <w:shd w:val="clear" w:color="auto" w:fill="FFF2CC"/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gége funkcionális anatómiája és funkciói</w:t>
            </w:r>
          </w:p>
          <w:p w:rsidR="009E1544" w:rsidRPr="00B4120A" w:rsidRDefault="009E1544" w:rsidP="009E1544">
            <w:pPr>
              <w:numPr>
                <w:ilvl w:val="0"/>
                <w:numId w:val="3"/>
              </w:numPr>
              <w:shd w:val="clear" w:color="auto" w:fill="FFF2CC"/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Hangajakrezgés, hanggenerálás, hangterjedés</w:t>
            </w:r>
          </w:p>
          <w:p w:rsidR="009E1544" w:rsidRPr="00B4120A" w:rsidRDefault="009E1544" w:rsidP="009E1544">
            <w:pPr>
              <w:numPr>
                <w:ilvl w:val="0"/>
                <w:numId w:val="3"/>
              </w:numPr>
              <w:shd w:val="clear" w:color="auto" w:fill="FFF2CC"/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Rezonancia (hangszín) </w:t>
            </w:r>
          </w:p>
          <w:p w:rsidR="009E1544" w:rsidRPr="00B4120A" w:rsidRDefault="009E1544" w:rsidP="009E1544">
            <w:pPr>
              <w:numPr>
                <w:ilvl w:val="0"/>
                <w:numId w:val="3"/>
              </w:numPr>
              <w:shd w:val="clear" w:color="auto" w:fill="FFF2CC"/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beszéd </w:t>
            </w:r>
            <w:proofErr w:type="spellStart"/>
            <w:r w:rsidRPr="00B4120A">
              <w:rPr>
                <w:sz w:val="22"/>
                <w:szCs w:val="22"/>
              </w:rPr>
              <w:t>neurobiológiája</w:t>
            </w:r>
            <w:proofErr w:type="spellEnd"/>
            <w:r w:rsidRPr="00B4120A">
              <w:rPr>
                <w:sz w:val="22"/>
                <w:szCs w:val="22"/>
              </w:rPr>
              <w:t xml:space="preserve"> – központi beidegzés</w:t>
            </w:r>
          </w:p>
          <w:p w:rsidR="009E1544" w:rsidRPr="00B4120A" w:rsidRDefault="009E1544" w:rsidP="009E1544">
            <w:pPr>
              <w:numPr>
                <w:ilvl w:val="0"/>
                <w:numId w:val="3"/>
              </w:numPr>
              <w:shd w:val="clear" w:color="auto" w:fill="FFF2CC"/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beszédfunkci</w:t>
            </w:r>
            <w:proofErr w:type="spellEnd"/>
            <w:r w:rsidRPr="00B4120A">
              <w:rPr>
                <w:sz w:val="22"/>
                <w:szCs w:val="22"/>
              </w:rPr>
              <w:t xml:space="preserve"> és a hang genetikája</w:t>
            </w:r>
          </w:p>
          <w:p w:rsidR="009E1544" w:rsidRPr="00B4120A" w:rsidRDefault="009E1544" w:rsidP="009E1544">
            <w:pPr>
              <w:numPr>
                <w:ilvl w:val="0"/>
                <w:numId w:val="3"/>
              </w:numPr>
              <w:shd w:val="clear" w:color="auto" w:fill="FFF2CC"/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beszéd- és nyelvfejlődés alapjai: a tipikus és az atipikus fejlődés ismérvei.</w:t>
            </w:r>
          </w:p>
          <w:p w:rsidR="009E1544" w:rsidRPr="00B4120A" w:rsidRDefault="009E1544" w:rsidP="009E1544">
            <w:pPr>
              <w:numPr>
                <w:ilvl w:val="0"/>
                <w:numId w:val="5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 xml:space="preserve">A beszédfejlődési zavarok környezeti okai,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milliőártalmak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>.</w:t>
            </w:r>
          </w:p>
          <w:p w:rsidR="009E1544" w:rsidRPr="00B4120A" w:rsidRDefault="009E1544" w:rsidP="009E1544">
            <w:pPr>
              <w:numPr>
                <w:ilvl w:val="0"/>
                <w:numId w:val="5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A beszédfejlődési zavarok hátterében álló lehetséges érzékszervi károsodások (halláscsökkenés, látászavar).</w:t>
            </w:r>
          </w:p>
          <w:p w:rsidR="009E1544" w:rsidRPr="00B4120A" w:rsidRDefault="009E1544" w:rsidP="009E1544">
            <w:pPr>
              <w:numPr>
                <w:ilvl w:val="0"/>
                <w:numId w:val="5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4120A">
              <w:rPr>
                <w:rFonts w:eastAsia="Calibri"/>
                <w:sz w:val="22"/>
                <w:szCs w:val="22"/>
              </w:rPr>
              <w:t>A beszédfejlődési zavarok k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özponti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idegrendszer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károsodással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összefüggő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jelenségei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akusztikus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agnózia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értelmi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fogyatékosság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>, apraxia).</w:t>
            </w:r>
          </w:p>
          <w:p w:rsidR="009E1544" w:rsidRPr="00B4120A" w:rsidRDefault="009E1544" w:rsidP="009E1544">
            <w:pPr>
              <w:numPr>
                <w:ilvl w:val="0"/>
                <w:numId w:val="5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4120A">
              <w:rPr>
                <w:rFonts w:eastAsia="Calibri"/>
                <w:sz w:val="22"/>
                <w:szCs w:val="22"/>
              </w:rPr>
              <w:t xml:space="preserve">A beszédfejlődési zavarok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lehetésges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okai a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motorikus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zavarok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s a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perifériás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beszédszervek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rendellenességei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terén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:rsidR="009E1544" w:rsidRPr="00B4120A" w:rsidRDefault="009E1544" w:rsidP="009E1544">
            <w:pPr>
              <w:numPr>
                <w:ilvl w:val="0"/>
                <w:numId w:val="5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 xml:space="preserve">A beszédfejlődési zavarok mögött álló lehetséges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familiáris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beszédgyengeségek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pszichés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zavarok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  <w:p w:rsidR="009E1544" w:rsidRPr="00B4120A" w:rsidRDefault="009E1544" w:rsidP="009E1544">
            <w:pPr>
              <w:numPr>
                <w:ilvl w:val="0"/>
                <w:numId w:val="5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Specifikus nyelvfejlődési zavar (SLI) anatómiája és kórtana</w:t>
            </w:r>
          </w:p>
          <w:p w:rsidR="009E1544" w:rsidRPr="00B4120A" w:rsidRDefault="009E1544" w:rsidP="009E1544">
            <w:pPr>
              <w:numPr>
                <w:ilvl w:val="0"/>
                <w:numId w:val="5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Szindróma- és kórspecifikus nyelvfejlődési zavarok anatómiája és kórtana Williams-szindróma, autizmus, Down-kór esetében</w:t>
            </w:r>
          </w:p>
          <w:p w:rsidR="009E1544" w:rsidRPr="00B4120A" w:rsidRDefault="009E1544" w:rsidP="009E1544">
            <w:pPr>
              <w:numPr>
                <w:ilvl w:val="0"/>
                <w:numId w:val="5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4120A">
              <w:rPr>
                <w:rFonts w:eastAsia="Calibri"/>
                <w:sz w:val="22"/>
                <w:szCs w:val="22"/>
              </w:rPr>
              <w:t xml:space="preserve">A beszédfejlődési zavarok kapcsolata az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autizmus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spektrum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zavar</w:t>
            </w:r>
            <w:r w:rsidRPr="00B4120A">
              <w:rPr>
                <w:rFonts w:eastAsia="Calibri"/>
                <w:sz w:val="22"/>
                <w:szCs w:val="22"/>
              </w:rPr>
              <w:t>ral</w:t>
            </w:r>
            <w:proofErr w:type="spellEnd"/>
          </w:p>
          <w:p w:rsidR="009E1544" w:rsidRPr="00B4120A" w:rsidRDefault="009E1544" w:rsidP="009E1544">
            <w:pPr>
              <w:numPr>
                <w:ilvl w:val="0"/>
                <w:numId w:val="5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 xml:space="preserve">A beszédfejlődési zavarok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nyelvi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grammatikai</w:t>
            </w:r>
            <w:proofErr w:type="spellEnd"/>
            <w:r w:rsidRPr="00B4120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val="en-US"/>
              </w:rPr>
              <w:t>okai</w:t>
            </w:r>
            <w:proofErr w:type="spellEnd"/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544" w:rsidRPr="00B4120A" w:rsidRDefault="009E1544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E1544" w:rsidRPr="00B4120A" w:rsidRDefault="009E1544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 xml:space="preserve">Kötelező irodalom: </w:t>
            </w:r>
          </w:p>
          <w:p w:rsidR="009E1544" w:rsidRPr="00B4120A" w:rsidRDefault="009E1544" w:rsidP="009E1544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4120A">
              <w:rPr>
                <w:rFonts w:eastAsia="Calibri"/>
                <w:sz w:val="22"/>
                <w:szCs w:val="22"/>
              </w:rPr>
              <w:lastRenderedPageBreak/>
              <w:t>Hirschberg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Jenő –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Hacki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Tamás – Mészáros Krisztina: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Foniátria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és társtudományok. A hangképzés a beszéd és a nyelv, a hallás és a nyelés élettana, kórtana,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diagnoszikája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és terápiája. i. – II. kötet. ELTE Eötvös Kiadó. Budapest. 2013.</w:t>
            </w:r>
          </w:p>
          <w:p w:rsidR="009E1544" w:rsidRPr="00B4120A" w:rsidRDefault="009E1544" w:rsidP="009E1544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 xml:space="preserve">Kocsisné Kálló Veronika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Györgi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és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Tóriné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Gál Anikó: Nyelvfejlődési zavarok. Szegedi Tudományegyetem, Szeged. 2013. Web</w:t>
            </w:r>
            <w:proofErr w:type="gramStart"/>
            <w:r w:rsidRPr="00B4120A">
              <w:rPr>
                <w:rFonts w:eastAsia="Calibri"/>
                <w:sz w:val="22"/>
                <w:szCs w:val="22"/>
              </w:rPr>
              <w:t xml:space="preserve">:  </w:t>
            </w:r>
            <w:hyperlink r:id="rId5" w:history="1">
              <w:r w:rsidRPr="00B4120A">
                <w:rPr>
                  <w:rFonts w:eastAsia="Calibri"/>
                  <w:sz w:val="22"/>
                  <w:szCs w:val="22"/>
                </w:rPr>
                <w:t>http</w:t>
              </w:r>
              <w:proofErr w:type="gramEnd"/>
              <w:r w:rsidRPr="00B4120A">
                <w:rPr>
                  <w:rFonts w:eastAsia="Calibri"/>
                  <w:sz w:val="22"/>
                  <w:szCs w:val="22"/>
                </w:rPr>
                <w:t>://www.jgypk.hu/mentorhalo/tananyag/Nyelvfejldsi_zavarok/index.html</w:t>
              </w:r>
            </w:hyperlink>
            <w:r w:rsidRPr="00B4120A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9E1544" w:rsidRPr="00B4120A" w:rsidRDefault="009E1544" w:rsidP="009E1544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Lukács Ágnes és Kas Bence: A specifikus nyelvfejlődési zavar. In: Pléh Csaba és Lukács Ágnes (szerk.) Pszicholingvisztika. Akadémiai Kiadó, Budapest. 2014.</w:t>
            </w:r>
          </w:p>
          <w:p w:rsidR="009E1544" w:rsidRPr="00B4120A" w:rsidRDefault="009E1544" w:rsidP="009E1544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Lukács Ágnes és Kas Bence: A specifikus nyelvi zavar biológiai alapjai. Pedagógusképzés 2008/1-2. 69-78.</w:t>
            </w:r>
          </w:p>
          <w:p w:rsidR="009E1544" w:rsidRPr="00B4120A" w:rsidRDefault="009E1544" w:rsidP="009E11B6">
            <w:pPr>
              <w:pStyle w:val="Szvegtrzs3"/>
              <w:shd w:val="clear" w:color="auto" w:fill="FFF2CC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C95E8B">
              <w:rPr>
                <w:b/>
                <w:i/>
                <w:sz w:val="22"/>
                <w:szCs w:val="22"/>
              </w:rPr>
              <w:t>Ajánlott irodalom</w:t>
            </w:r>
          </w:p>
          <w:p w:rsidR="009E1544" w:rsidRPr="00B4120A" w:rsidRDefault="009E1544" w:rsidP="009E1544">
            <w:pPr>
              <w:numPr>
                <w:ilvl w:val="0"/>
                <w:numId w:val="4"/>
              </w:numPr>
              <w:jc w:val="both"/>
              <w:rPr>
                <w:i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 xml:space="preserve">Gerebenné Várbíró Katalin: Fejlődési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diszfázia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>. ELTE BGGYFK, 1995.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544" w:rsidRPr="00B4120A" w:rsidRDefault="009E154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9E1544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E1544" w:rsidRPr="00B4120A" w:rsidRDefault="009E1544" w:rsidP="009E1544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(orvostudományi, pedagógiai, gyógypedagógiai, pszichológiai, gyógypedagógiai pszichológiai, nyelvészeti)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hang-, a beszéd-, a beszélt és az írott nyelv, valamint a gyermekkori nyelés zavarairól. 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hang, a beszéd a beszélt és az írott nyelv, valamint a gyermekkori nyelés működésének anatómiáját és fiziológiáját, felismeri azok eltéréseit. </w:t>
            </w:r>
          </w:p>
          <w:p w:rsidR="009E1544" w:rsidRPr="00B4120A" w:rsidRDefault="009E1544" w:rsidP="009E1544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317" w:right="260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</w:t>
            </w:r>
            <w:r w:rsidRPr="00B4120A">
              <w:rPr>
                <w:sz w:val="22"/>
                <w:szCs w:val="22"/>
              </w:rPr>
              <w:t xml:space="preserve">smeretei alapján a különböző kommunikációs zavarokat interdiszciplináris szemlélettel, a személyiséggel és a társadalmi beágyazottsággal összefüggésben értelmezi. 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státusz- és differenciál diagnózisnak megfelelő sérülés-specifikus, individuális logopédiai beavatkozást evidencia alapon tervezi, időben ütemezi, és hatékonyan megvalósítja.  </w:t>
            </w:r>
          </w:p>
          <w:p w:rsidR="009E1544" w:rsidRPr="00B4120A" w:rsidRDefault="009E1544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1"/>
              </w:numPr>
              <w:suppressAutoHyphens/>
              <w:ind w:left="317" w:hanging="283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1"/>
              </w:numPr>
              <w:suppressAutoHyphens/>
              <w:ind w:left="317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Felelősen képviseli az adott téma szakszerű és korrekt (adott) idegen nyelvi meghatározásait, és ezeket a konkrét kommunikációs szituáció, az adott szociokulturális háttér figyelembe vételével és a változó világra való nyitottsággal használja. 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2"/>
              </w:numPr>
              <w:suppressAutoHyphens/>
              <w:ind w:left="317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2"/>
              </w:numPr>
              <w:suppressAutoHyphens/>
              <w:ind w:left="317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B4120A">
              <w:rPr>
                <w:sz w:val="22"/>
                <w:szCs w:val="22"/>
                <w:lang w:eastAsia="ar-SA"/>
              </w:rPr>
              <w:t xml:space="preserve"> végezni, szakmai műhelyekben aktívan vesz részt. </w:t>
            </w:r>
          </w:p>
        </w:tc>
      </w:tr>
      <w:tr w:rsidR="009E1544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color w:val="000000"/>
                <w:sz w:val="22"/>
                <w:szCs w:val="22"/>
              </w:rPr>
              <w:t xml:space="preserve">Tantárgy felelőse: </w:t>
            </w:r>
            <w:r w:rsidRPr="00FD69DA">
              <w:rPr>
                <w:b/>
                <w:sz w:val="22"/>
                <w:szCs w:val="22"/>
              </w:rPr>
              <w:t xml:space="preserve">Dr. Cziniel Mónika, </w:t>
            </w:r>
            <w:proofErr w:type="spellStart"/>
            <w:r w:rsidRPr="00FD69DA">
              <w:rPr>
                <w:b/>
                <w:sz w:val="22"/>
                <w:szCs w:val="22"/>
              </w:rPr>
              <w:t>neonatológus</w:t>
            </w:r>
            <w:proofErr w:type="spellEnd"/>
            <w:r w:rsidRPr="00FD69DA">
              <w:rPr>
                <w:b/>
                <w:sz w:val="22"/>
                <w:szCs w:val="22"/>
              </w:rPr>
              <w:t xml:space="preserve"> szakorvos, óraadó</w:t>
            </w:r>
          </w:p>
        </w:tc>
      </w:tr>
      <w:tr w:rsidR="009E1544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b/>
                <w:color w:val="000000"/>
                <w:sz w:val="22"/>
                <w:szCs w:val="22"/>
              </w:rPr>
            </w:pPr>
            <w:r w:rsidRPr="00B4120A">
              <w:rPr>
                <w:b/>
                <w:color w:val="000000"/>
                <w:sz w:val="22"/>
                <w:szCs w:val="22"/>
              </w:rPr>
              <w:t xml:space="preserve">Tantárgy oktatásába bevont oktatók: </w:t>
            </w:r>
            <w:r>
              <w:rPr>
                <w:b/>
                <w:color w:val="000000"/>
                <w:sz w:val="22"/>
                <w:szCs w:val="22"/>
              </w:rPr>
              <w:t>Dr. Major Tamás</w:t>
            </w:r>
          </w:p>
        </w:tc>
      </w:tr>
    </w:tbl>
    <w:p w:rsidR="00DC1E9E" w:rsidRDefault="00DC1E9E" w:rsidP="008A1534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443"/>
    <w:multiLevelType w:val="hybridMultilevel"/>
    <w:tmpl w:val="6F2C87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DE2"/>
    <w:multiLevelType w:val="hybridMultilevel"/>
    <w:tmpl w:val="ED08D430"/>
    <w:lvl w:ilvl="0" w:tplc="3744A6D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8F9"/>
    <w:multiLevelType w:val="hybridMultilevel"/>
    <w:tmpl w:val="51989168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21D7"/>
    <w:multiLevelType w:val="hybridMultilevel"/>
    <w:tmpl w:val="C55620FE"/>
    <w:lvl w:ilvl="0" w:tplc="F49484A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A7AE9"/>
    <w:multiLevelType w:val="hybridMultilevel"/>
    <w:tmpl w:val="3AAA038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221"/>
    <w:multiLevelType w:val="hybridMultilevel"/>
    <w:tmpl w:val="5142BB3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76168"/>
    <w:multiLevelType w:val="hybridMultilevel"/>
    <w:tmpl w:val="281E873A"/>
    <w:lvl w:ilvl="0" w:tplc="F2C27C1A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F0E7D"/>
    <w:multiLevelType w:val="hybridMultilevel"/>
    <w:tmpl w:val="049AC836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D6162"/>
    <w:multiLevelType w:val="hybridMultilevel"/>
    <w:tmpl w:val="8A36BA7E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CA17531"/>
    <w:multiLevelType w:val="hybridMultilevel"/>
    <w:tmpl w:val="5C7C63AA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5DA83489"/>
    <w:multiLevelType w:val="hybridMultilevel"/>
    <w:tmpl w:val="D638C486"/>
    <w:lvl w:ilvl="0" w:tplc="C55842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645F5"/>
    <w:multiLevelType w:val="hybridMultilevel"/>
    <w:tmpl w:val="FCFAB1E0"/>
    <w:lvl w:ilvl="0" w:tplc="6A828C9E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44"/>
    <w:rsid w:val="006F2692"/>
    <w:rsid w:val="008A1534"/>
    <w:rsid w:val="009A4BC9"/>
    <w:rsid w:val="009E1544"/>
    <w:rsid w:val="00C95E8B"/>
    <w:rsid w:val="00D56062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A1B"/>
  <w15:docId w15:val="{EBF04B59-5B21-4A34-9527-88A1F9EF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9E1544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9E15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E1544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E1544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9E154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9E15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E154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9E154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gypk.hu/mentorhalo/tananyag/Nyelvfejldsi_zavarok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2018-07-03T13:23:00Z</dcterms:created>
  <dcterms:modified xsi:type="dcterms:W3CDTF">2021-08-25T09:54:00Z</dcterms:modified>
</cp:coreProperties>
</file>