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8C" w:rsidRPr="00B4120A" w:rsidRDefault="008A2E8C" w:rsidP="008A2E8C">
      <w:pPr>
        <w:suppressAutoHyphens/>
        <w:rPr>
          <w:color w:val="333399"/>
          <w:sz w:val="22"/>
          <w:szCs w:val="22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2552"/>
      </w:tblGrid>
      <w:tr w:rsidR="00B74366" w:rsidRPr="004A69F4" w:rsidTr="00C952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Gyógypedagógiai pszichológia és pszichodiagnosztika I.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NBP_GP124K2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”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100%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elmélet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B74366" w:rsidRPr="004A69F4" w:rsidTr="00C9526B">
        <w:trPr>
          <w:trHeight w:val="280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tárgy célja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 hogy a hallgatók ismereteket szerezzenek a gyógy</w:t>
            </w:r>
            <w:r>
              <w:rPr>
                <w:rFonts w:eastAsia="Calibri"/>
                <w:sz w:val="22"/>
                <w:szCs w:val="22"/>
                <w:lang w:eastAsia="en-US"/>
              </w:rPr>
              <w:t>pedagógiai pszichológia témakörei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ből,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speciális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szakpszichológiák s</w:t>
            </w:r>
            <w:r>
              <w:rPr>
                <w:rFonts w:eastAsia="Calibri"/>
                <w:sz w:val="22"/>
                <w:szCs w:val="22"/>
                <w:lang w:eastAsia="en-US"/>
              </w:rPr>
              <w:t>ajátosságairól. Erre építve elsajátítják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diagnosztikai munkához szükséges 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méleti ismereteket,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gyógypedagógiai  és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pszichológiai vizsgáló eljárásokat, az állapotmegismerés alapvető módszereit. A tárgy két féléves. Ez az első féléves tanegység az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eméleti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alapozást adja, a második félévben pedig a gyakorlatban próbálhatják ki a hallgatók a gyógypedagógiai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kompetenciába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tartozó diagnosztikai módszereket.</w:t>
            </w:r>
          </w:p>
          <w:p w:rsidR="00B74366" w:rsidRPr="004A69F4" w:rsidRDefault="00B74366" w:rsidP="00C9526B">
            <w:pPr>
              <w:suppressAutoHyphens/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tárgy tartalma: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Pr="004A69F4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gyógypedagógiai pszichológia fogalma, helye a pszichológiai tudományok rendszerében.</w:t>
            </w:r>
          </w:p>
          <w:p w:rsidR="00B74366" w:rsidRPr="004A69F4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pszichológiai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diszciplínák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speciális szakpszichológiák </w:t>
            </w:r>
          </w:p>
          <w:p w:rsidR="00B74366" w:rsidRPr="00D21309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pszichológia tárgya, története. A gyógypedagógiai pszichológia területei (általános gyógypedagógiai lélektan; gyógypedagógiai gyermek-, illetve fejlődés-lélektan; </w:t>
            </w: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gyógypedagógiai nevelés- és oktatáslélektan; gyógypedagógiai pszichodiagnosztika; gyógypedagógiai munkalélektan)</w:t>
            </w:r>
          </w:p>
          <w:p w:rsidR="00B74366" w:rsidRPr="00D21309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309">
              <w:rPr>
                <w:rFonts w:eastAsia="Calibri"/>
                <w:sz w:val="22"/>
                <w:szCs w:val="22"/>
                <w:lang w:eastAsia="en-US"/>
              </w:rPr>
              <w:t>A családi rendszer megváltozása sérült gyermek születése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esetén. </w:t>
            </w:r>
            <w:r w:rsidRPr="00D21309">
              <w:rPr>
                <w:rFonts w:eastAsia="Calibri"/>
                <w:sz w:val="22"/>
                <w:szCs w:val="22"/>
                <w:lang w:eastAsia="en-US"/>
              </w:rPr>
              <w:t>A fogyatékos gyermek fejl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ődését elősegítő és </w:t>
            </w:r>
            <w:r w:rsidRPr="00D21309">
              <w:rPr>
                <w:rFonts w:eastAsia="Calibri"/>
                <w:sz w:val="22"/>
                <w:szCs w:val="22"/>
                <w:lang w:eastAsia="en-US"/>
              </w:rPr>
              <w:t>hátráltató dinami</w:t>
            </w:r>
            <w:r>
              <w:rPr>
                <w:rFonts w:eastAsia="Calibri"/>
                <w:sz w:val="22"/>
                <w:szCs w:val="22"/>
                <w:lang w:eastAsia="en-US"/>
              </w:rPr>
              <w:t>kus tényezők hatása a családban</w:t>
            </w:r>
          </w:p>
          <w:p w:rsidR="00B74366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Sérülés specifikus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terüetek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gyógypedagógiai pszichológiája. A különböző típusú sérülések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hatása a kognitív és személyiségfejlődésre és az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viselkedésre, a tár</w:t>
            </w:r>
            <w:r>
              <w:rPr>
                <w:rFonts w:eastAsia="Calibri"/>
                <w:sz w:val="22"/>
                <w:szCs w:val="22"/>
                <w:lang w:eastAsia="en-US"/>
              </w:rPr>
              <w:t>sadalomba való beilleszkedésre.</w:t>
            </w:r>
          </w:p>
          <w:p w:rsidR="00B74366" w:rsidRPr="000A18BC" w:rsidRDefault="00B74366" w:rsidP="00B74366">
            <w:pPr>
              <w:numPr>
                <w:ilvl w:val="0"/>
                <w:numId w:val="8"/>
              </w:num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68678C">
              <w:rPr>
                <w:rFonts w:eastAsia="Calibri"/>
                <w:sz w:val="22"/>
                <w:szCs w:val="22"/>
                <w:lang w:eastAsia="en-US"/>
              </w:rPr>
              <w:t>z állapotmegismerés jelentősége a gyógypedagógiai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tevékenységben. </w:t>
            </w:r>
            <w:r w:rsidRPr="000A18BC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0A18BC">
              <w:rPr>
                <w:rFonts w:eastAsia="Calibri"/>
                <w:sz w:val="22"/>
                <w:szCs w:val="22"/>
                <w:lang w:eastAsia="en-US"/>
              </w:rPr>
              <w:t>ko</w:t>
            </w:r>
            <w:r>
              <w:rPr>
                <w:rFonts w:eastAsia="Calibri"/>
                <w:sz w:val="22"/>
                <w:szCs w:val="22"/>
                <w:lang w:eastAsia="en-US"/>
              </w:rPr>
              <w:t>mplex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állapotfelmérés folyamata </w:t>
            </w:r>
            <w:r w:rsidRPr="000A18BC">
              <w:rPr>
                <w:rFonts w:eastAsia="Calibri"/>
                <w:sz w:val="22"/>
                <w:szCs w:val="22"/>
                <w:lang w:eastAsia="en-US"/>
              </w:rPr>
              <w:t>és diagnosztikus eszközrendszere</w:t>
            </w:r>
          </w:p>
          <w:p w:rsidR="00B74366" w:rsidRPr="004A69F4" w:rsidRDefault="00B74366" w:rsidP="00B74366">
            <w:pPr>
              <w:numPr>
                <w:ilvl w:val="0"/>
                <w:numId w:val="8"/>
              </w:num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módszerek (megfigyelés, kísérlet, interjú, tartalomelemzés, kérdőív, teszt, esettanulmány) </w:t>
            </w:r>
          </w:p>
          <w:p w:rsidR="00B74366" w:rsidRPr="00FA6F72" w:rsidRDefault="00B74366" w:rsidP="00B74366">
            <w:pPr>
              <w:numPr>
                <w:ilvl w:val="0"/>
                <w:numId w:val="8"/>
              </w:num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kogni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tív működés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és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a személyiség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jellemzők </w:t>
            </w:r>
            <w:r>
              <w:rPr>
                <w:rFonts w:eastAsia="Calibri"/>
                <w:sz w:val="22"/>
                <w:szCs w:val="22"/>
                <w:lang w:eastAsia="en-US"/>
              </w:rPr>
              <w:t>megismerésére alkalmazható leggyakoribb vizsgáló eljárások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pszichológia segítő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módszerei (pszichológiai terápia, tanácsadás és konzultáció összefüggései; egyéni, pár- és csoportmódszerek direktív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nondirektív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módszerek).</w:t>
            </w:r>
          </w:p>
          <w:p w:rsidR="00B74366" w:rsidRPr="0034032D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K</w:t>
            </w:r>
            <w:r w:rsidRPr="00EC4EF5">
              <w:rPr>
                <w:sz w:val="22"/>
                <w:szCs w:val="22"/>
                <w:lang w:eastAsia="ar-SA"/>
              </w:rPr>
              <w:t>rízis-</w:t>
            </w:r>
            <w:proofErr w:type="gramEnd"/>
            <w:r w:rsidRPr="00EC4EF5">
              <w:rPr>
                <w:sz w:val="22"/>
                <w:szCs w:val="22"/>
                <w:lang w:eastAsia="ar-SA"/>
              </w:rPr>
              <w:t xml:space="preserve"> és válsághelyzetekben alkalmazható segítségnyújtás, mentálhigiénés támogatás lehetőségeiről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Pr="004A69F4" w:rsidRDefault="00B74366" w:rsidP="00B74366">
            <w:pPr>
              <w:numPr>
                <w:ilvl w:val="0"/>
                <w:numId w:val="7"/>
              </w:numPr>
              <w:suppressAutoHyphens/>
              <w:spacing w:line="257" w:lineRule="auto"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 gyógypedagógus és a társzakmák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együttműködése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szakmai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munka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  <w:p w:rsidR="00B74366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Lányiné </w:t>
              </w:r>
              <w:proofErr w:type="spellStart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>Engelmayer</w:t>
              </w:r>
              <w:proofErr w:type="spellEnd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 Ágnes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(2015): Gyógypedagógiai lélektan, Akadémiai kiadó, Budapest, </w:t>
            </w:r>
          </w:p>
          <w:p w:rsidR="00B74366" w:rsidRPr="000A18BC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Gál Zita (2013): Gyógypedagógiai pszichodiagnosztika: Szegedi Tudományegyetem, Mentorháló program.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http://www.jgypk.hu/mentorhalo/tananyag/Gyogypedagogiai%20pszichodiagnosztika/index.html</w:t>
              </w:r>
            </w:hyperlink>
          </w:p>
          <w:p w:rsidR="00B74366" w:rsidRPr="004A69F4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A18B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Mészáros, </w:t>
            </w:r>
            <w:proofErr w:type="gramStart"/>
            <w:r w:rsidRPr="000A18BC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0A18BC">
              <w:rPr>
                <w:rFonts w:eastAsia="Calibri"/>
                <w:sz w:val="22"/>
                <w:szCs w:val="22"/>
                <w:lang w:eastAsia="en-US"/>
              </w:rPr>
              <w:t xml:space="preserve">. (2014): </w:t>
            </w:r>
            <w:proofErr w:type="gramStart"/>
            <w:r w:rsidRPr="000A18BC">
              <w:rPr>
                <w:rFonts w:eastAsia="Calibri"/>
                <w:sz w:val="22"/>
                <w:szCs w:val="22"/>
                <w:lang w:eastAsia="en-US"/>
              </w:rPr>
              <w:t>Komplex</w:t>
            </w:r>
            <w:proofErr w:type="gramEnd"/>
            <w:r w:rsidRPr="000A18BC">
              <w:rPr>
                <w:rFonts w:eastAsia="Calibri"/>
                <w:sz w:val="22"/>
                <w:szCs w:val="22"/>
                <w:lang w:eastAsia="en-US"/>
              </w:rPr>
              <w:t xml:space="preserve"> állapotfelmérés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protokolláris szemlélettel. In: </w:t>
            </w:r>
            <w:r w:rsidRPr="000A18BC">
              <w:rPr>
                <w:rFonts w:eastAsia="Calibri"/>
                <w:sz w:val="22"/>
                <w:szCs w:val="22"/>
                <w:lang w:eastAsia="en-US"/>
              </w:rPr>
              <w:t>Gyógypedagógiai Sz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emle. 2014. 42. 3. sz. 185-196. </w:t>
            </w:r>
            <w:hyperlink r:id="rId7" w:history="1">
              <w:r w:rsidRPr="00DD1F7A">
                <w:rPr>
                  <w:rStyle w:val="Hiperhivatkozs"/>
                  <w:rFonts w:eastAsia="Calibri"/>
                  <w:sz w:val="22"/>
                  <w:szCs w:val="22"/>
                  <w:lang w:eastAsia="en-US"/>
                </w:rPr>
                <w:t>https://epa.oszk.hu/03000/03047/00065/pdf/EPA03047_gyosze_2014_3_185-196.pdf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Marton Klára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.)(2009): </w:t>
            </w:r>
            <w:proofErr w:type="spellStart"/>
            <w:r w:rsidRPr="004A69F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Neurokognitív</w:t>
            </w:r>
            <w:proofErr w:type="spellEnd"/>
            <w:r w:rsidRPr="004A69F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fejlődési zavarok vizsgálata és terápiája - Példák a bizonyítékon alapuló gyakorlatra. ELTE Eötvös Kiadó. Budapest.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Pr="00FE3218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Lányiné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Engelmayar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Ágnes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(2004): Képességzavarok diagnosztikája és terápiája a gyógypedagógiai pszichológiában. Akadémia Kiadó RT. Budapest, ISBN: 963-05-8069-1</w:t>
            </w:r>
          </w:p>
          <w:p w:rsidR="00B74366" w:rsidRPr="00D21309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1309">
              <w:rPr>
                <w:rFonts w:eastAsia="Calibri"/>
                <w:sz w:val="22"/>
                <w:szCs w:val="22"/>
                <w:lang w:eastAsia="en-US"/>
              </w:rPr>
              <w:t xml:space="preserve">Radványi Katalin (2013): Legbelső kör: a család.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ELTE Eötvös Kiadó, Budapest. 4. </w:t>
            </w:r>
            <w:r w:rsidRPr="00D21309">
              <w:rPr>
                <w:rFonts w:eastAsia="Calibri"/>
                <w:sz w:val="22"/>
                <w:szCs w:val="22"/>
                <w:lang w:eastAsia="en-US"/>
              </w:rPr>
              <w:t>fejezet: Fogyatékos gyermek születésé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nek hatása a család működésére. </w:t>
            </w:r>
            <w:hyperlink r:id="rId8" w:history="1">
              <w:r w:rsidRPr="00DD1F7A">
                <w:rPr>
                  <w:rStyle w:val="Hiperhivatkozs"/>
                  <w:rFonts w:eastAsia="Calibri"/>
                  <w:sz w:val="22"/>
                  <w:szCs w:val="22"/>
                  <w:lang w:eastAsia="en-US"/>
                </w:rPr>
                <w:t>https://www.eltereader.hu/media/2017/02/Radvanyi_Legbelso_kor_a_csalad_READER.pdf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Pr="004A69F4" w:rsidRDefault="00B74366" w:rsidP="00C9526B">
            <w:pPr>
              <w:suppressAutoHyphens/>
              <w:spacing w:line="257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</w:p>
          <w:p w:rsidR="00B74366" w:rsidRPr="0068678C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Gereben Ferencné (2004): A gyógypedagógiai pszichológia szerepe a gyógypedagógia tudományos elméletének fejlődésében. Gyógypedagógiai Szemle. XXXII. évfolyam. 2004/2 </w:t>
            </w:r>
            <w:hyperlink r:id="rId9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http://www.eltereader.hu/media/2004/06/gyosze_2004_2.pdf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4366" w:rsidRPr="004A69F4" w:rsidRDefault="00B74366" w:rsidP="00B74366">
            <w:pPr>
              <w:numPr>
                <w:ilvl w:val="0"/>
                <w:numId w:val="1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Mohai Katalin (2009). A diagnosztika szerepe a sikeres fejlesztésben. </w:t>
            </w:r>
            <w:r w:rsidRPr="004A69F4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Gyógypedagógiai Szemle</w:t>
            </w: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, 2009/5, 331–342.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HU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ISSN: 0133-1108</w:t>
            </w:r>
          </w:p>
          <w:p w:rsidR="00B74366" w:rsidRPr="00631E2D" w:rsidRDefault="00B74366" w:rsidP="00B74366">
            <w:pPr>
              <w:numPr>
                <w:ilvl w:val="0"/>
                <w:numId w:val="1"/>
              </w:numPr>
              <w:suppressAutoHyphens/>
              <w:spacing w:line="257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Lányiné </w:t>
              </w:r>
              <w:proofErr w:type="spellStart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>Engelmayer</w:t>
              </w:r>
              <w:proofErr w:type="spellEnd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 Ágnes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(2017): Intellektuális képességzavar és pszichés fejlődés, Medicina Könyvkiadó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Zrt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74366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B74366" w:rsidRPr="004A69F4" w:rsidTr="00C9526B">
        <w:trPr>
          <w:trHeight w:val="296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55E91" w:rsidRDefault="00B74366" w:rsidP="00B74366">
            <w:pPr>
              <w:pStyle w:val="Listaszerbekezds"/>
              <w:numPr>
                <w:ilvl w:val="1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E91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B74366" w:rsidRPr="004A69F4" w:rsidRDefault="00B74366" w:rsidP="00B74366">
            <w:pPr>
              <w:numPr>
                <w:ilvl w:val="0"/>
                <w:numId w:val="3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komplex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gyógypedagógiai diagnosztika, nevelés, oktatás, fejlesztés, terápia és rehabilitáció módszereit, gyakorlatát,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valamint az integrált, inkluzív nevelés elméletét és eljárásait, azok alkalmazásának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továbbfejlesztésének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lehetőségeit.</w:t>
            </w:r>
          </w:p>
          <w:p w:rsidR="00B74366" w:rsidRDefault="00B74366" w:rsidP="00B74366">
            <w:pPr>
              <w:numPr>
                <w:ilvl w:val="0"/>
                <w:numId w:val="3"/>
              </w:numPr>
              <w:spacing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ismeretekkel tisztában van a fogyatékosságok, sérülések, akadályozottságok hátterében álló pszichológiai folyamatokkal.</w:t>
            </w:r>
          </w:p>
          <w:p w:rsidR="00B74366" w:rsidRPr="004A69F4" w:rsidRDefault="00B74366" w:rsidP="00B74366">
            <w:pPr>
              <w:numPr>
                <w:ilvl w:val="0"/>
                <w:numId w:val="3"/>
              </w:numPr>
              <w:spacing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4EF5">
              <w:rPr>
                <w:sz w:val="22"/>
                <w:szCs w:val="22"/>
                <w:lang w:eastAsia="ar-SA"/>
              </w:rPr>
              <w:t xml:space="preserve">Tájékozott a </w:t>
            </w:r>
            <w:proofErr w:type="gramStart"/>
            <w:r w:rsidRPr="00EC4EF5">
              <w:rPr>
                <w:sz w:val="22"/>
                <w:szCs w:val="22"/>
                <w:lang w:eastAsia="ar-SA"/>
              </w:rPr>
              <w:t>krízis-</w:t>
            </w:r>
            <w:proofErr w:type="gramEnd"/>
            <w:r w:rsidRPr="00EC4EF5">
              <w:rPr>
                <w:sz w:val="22"/>
                <w:szCs w:val="22"/>
                <w:lang w:eastAsia="ar-SA"/>
              </w:rPr>
              <w:t xml:space="preserve"> és válsághelyzetekben alkalmazható segítségnyújtás, mentálhigiénés támogatás lehetőségeiről</w:t>
            </w:r>
          </w:p>
          <w:p w:rsidR="00B74366" w:rsidRPr="004A69F4" w:rsidRDefault="00B74366" w:rsidP="00B74366">
            <w:pPr>
              <w:numPr>
                <w:ilvl w:val="0"/>
                <w:numId w:val="3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</w:t>
            </w: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fogyatékossággal élő személyek, csoportok és környezetük megismerésére alkalmas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felmérés, diagnosztika területeit,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formális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informális eljárásait, és a diagnosztikán alapuló gyógypedagógiai tervezés különböző szintjeit, ezek összefüggéseit és szervezeti beágyazottságát. </w:t>
            </w:r>
          </w:p>
          <w:p w:rsidR="00B74366" w:rsidRPr="004A69F4" w:rsidRDefault="00B74366" w:rsidP="00B74366">
            <w:pPr>
              <w:pStyle w:val="Listaszerbekezds"/>
              <w:numPr>
                <w:ilvl w:val="1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349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B74366" w:rsidRPr="004A69F4" w:rsidRDefault="00B74366" w:rsidP="00B74366">
            <w:pPr>
              <w:numPr>
                <w:ilvl w:val="0"/>
                <w:numId w:val="4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B74366" w:rsidRPr="004A69F4" w:rsidRDefault="00B74366" w:rsidP="00B74366">
            <w:pPr>
              <w:numPr>
                <w:ilvl w:val="0"/>
                <w:numId w:val="4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B74366" w:rsidRPr="004A69F4" w:rsidRDefault="00B74366" w:rsidP="00B74366">
            <w:pPr>
              <w:numPr>
                <w:ilvl w:val="0"/>
                <w:numId w:val="4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Képes a gyógypedagógiai diagnosztika digitális eszközrendszerének megismerésére.</w:t>
            </w:r>
          </w:p>
          <w:p w:rsidR="00B74366" w:rsidRPr="004A69F4" w:rsidRDefault="00B74366" w:rsidP="00B74366">
            <w:pPr>
              <w:pStyle w:val="Listaszerbekezds"/>
              <w:numPr>
                <w:ilvl w:val="1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E91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B74366" w:rsidRPr="004A69F4" w:rsidRDefault="00B74366" w:rsidP="00B74366">
            <w:pPr>
              <w:numPr>
                <w:ilvl w:val="0"/>
                <w:numId w:val="5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Nyitott innovatív gyógypedagógiai elképzelések és megoldások megismerésére, törekszik a bizonyítékalapú módszerek alkalmazására.</w:t>
            </w:r>
          </w:p>
          <w:p w:rsidR="00B74366" w:rsidRPr="004A69F4" w:rsidRDefault="00B74366" w:rsidP="00B74366">
            <w:pPr>
              <w:numPr>
                <w:ilvl w:val="0"/>
                <w:numId w:val="5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iszteletben tartja saját és mások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B74366" w:rsidRPr="004A69F4" w:rsidRDefault="00B74366" w:rsidP="00B74366">
            <w:pPr>
              <w:numPr>
                <w:ilvl w:val="0"/>
                <w:numId w:val="5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Fogyatékos személyekkel kapcsolatos kutatásai során teljes mértékben törekszik a fogyatékossággal kapcsolatos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problémák figyelembe vételére.</w:t>
            </w:r>
          </w:p>
          <w:p w:rsidR="00B74366" w:rsidRPr="004A69F4" w:rsidRDefault="00B74366" w:rsidP="00B74366">
            <w:pPr>
              <w:numPr>
                <w:ilvl w:val="0"/>
                <w:numId w:val="5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Elfogadja a fogyatékossággal élő személyek jogairól szóló ENSZ egyezmény elveit és törekszik azok megvalósítására munkája során. </w:t>
            </w:r>
          </w:p>
          <w:p w:rsidR="00B74366" w:rsidRPr="004A69F4" w:rsidRDefault="00B74366" w:rsidP="00B74366">
            <w:pPr>
              <w:pStyle w:val="Listaszerbekezds"/>
              <w:numPr>
                <w:ilvl w:val="1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B74366" w:rsidRPr="004A69F4" w:rsidRDefault="00B74366" w:rsidP="00B74366">
            <w:pPr>
              <w:numPr>
                <w:ilvl w:val="0"/>
                <w:numId w:val="6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Tudományosan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B74366" w:rsidRPr="004A69F4" w:rsidRDefault="00B74366" w:rsidP="00B74366">
            <w:pPr>
              <w:numPr>
                <w:ilvl w:val="0"/>
                <w:numId w:val="6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B74366" w:rsidRPr="004A69F4" w:rsidRDefault="00B74366" w:rsidP="00B74366">
            <w:pPr>
              <w:numPr>
                <w:ilvl w:val="0"/>
                <w:numId w:val="6"/>
              </w:numPr>
              <w:suppressAutoHyphens/>
              <w:spacing w:line="257" w:lineRule="auto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vállal a fogyatékos személy felelősségérzetének, önállóságának, autonómiájának kialakításáért.</w:t>
            </w:r>
          </w:p>
        </w:tc>
      </w:tr>
      <w:tr w:rsidR="00B74366" w:rsidRPr="004A69F4" w:rsidTr="00C9526B">
        <w:trPr>
          <w:trHeight w:val="33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Dr. Estefánné dr. Varga Magdolna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főiskolai tanár, professzor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emerita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74366" w:rsidRPr="004A69F4" w:rsidTr="00C9526B">
        <w:trPr>
          <w:trHeight w:val="33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366" w:rsidRPr="004A69F4" w:rsidRDefault="00B74366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oktató: Dr. Dávid Mária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tanár, Tompa Gyöngyvér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gyógypedagógus-pszichológus</w:t>
            </w:r>
          </w:p>
        </w:tc>
      </w:tr>
    </w:tbl>
    <w:p w:rsidR="008A2E8C" w:rsidRPr="00B4120A" w:rsidRDefault="008A2E8C" w:rsidP="008A2E8C">
      <w:pPr>
        <w:rPr>
          <w:sz w:val="22"/>
          <w:szCs w:val="22"/>
        </w:rPr>
      </w:pPr>
    </w:p>
    <w:p w:rsidR="00091AF2" w:rsidRDefault="00091AF2"/>
    <w:sectPr w:rsidR="0009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633"/>
    <w:multiLevelType w:val="hybridMultilevel"/>
    <w:tmpl w:val="CEBED478"/>
    <w:lvl w:ilvl="0" w:tplc="FBB04AB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757"/>
    <w:multiLevelType w:val="multilevel"/>
    <w:tmpl w:val="10CCDA9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75418"/>
    <w:multiLevelType w:val="hybridMultilevel"/>
    <w:tmpl w:val="D11CD1A6"/>
    <w:lvl w:ilvl="0" w:tplc="429E3C3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7544F3"/>
    <w:multiLevelType w:val="multilevel"/>
    <w:tmpl w:val="DAC2F5F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03602"/>
    <w:multiLevelType w:val="multilevel"/>
    <w:tmpl w:val="5EF8AE9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B2AC2"/>
    <w:multiLevelType w:val="hybridMultilevel"/>
    <w:tmpl w:val="1700D6B8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7F32622"/>
    <w:multiLevelType w:val="multilevel"/>
    <w:tmpl w:val="2C041E1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7600F"/>
    <w:multiLevelType w:val="hybridMultilevel"/>
    <w:tmpl w:val="BFE8DAC0"/>
    <w:lvl w:ilvl="0" w:tplc="664AB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16A62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8C"/>
    <w:rsid w:val="00091AF2"/>
    <w:rsid w:val="008A2E8C"/>
    <w:rsid w:val="00AF7661"/>
    <w:rsid w:val="00B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067"/>
  <w15:docId w15:val="{CCB2EBFE-6FD0-4C58-8C39-918CF76E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2E8C"/>
    <w:rPr>
      <w:color w:val="0000FF"/>
      <w:u w:val="single"/>
    </w:rPr>
  </w:style>
  <w:style w:type="paragraph" w:styleId="NormlWeb">
    <w:name w:val="Normal (Web)"/>
    <w:basedOn w:val="Norml"/>
    <w:uiPriority w:val="99"/>
    <w:rsid w:val="008A2E8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8A2E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8A2E8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8A2E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rsid w:val="008A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reader.hu/media/2017/02/Radvanyi_Legbelso_kor_a_csalad_READ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oszk.hu/03000/03047/00065/pdf/EPA03047_gyosze_2014_3_185-19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Gyogypedagogiai%20pszichodiagnosztik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okline.hu/szerzo/lanyine-engelmayer-agnes/81288" TargetMode="External"/><Relationship Id="rId10" Type="http://schemas.openxmlformats.org/officeDocument/2006/relationships/hyperlink" Target="https://bookline.hu/szerzo/lanyine-engelmayer-agnes/81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ereader.hu/media/2004/06/gyosze_2004_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3</cp:revision>
  <dcterms:created xsi:type="dcterms:W3CDTF">2018-07-02T15:11:00Z</dcterms:created>
  <dcterms:modified xsi:type="dcterms:W3CDTF">2021-08-24T12:18:00Z</dcterms:modified>
</cp:coreProperties>
</file>