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BA" w:rsidRPr="00B4120A" w:rsidRDefault="00290ABA" w:rsidP="00290ABA">
      <w:pPr>
        <w:suppressAutoHyphens/>
        <w:rPr>
          <w:color w:val="333399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5"/>
        <w:gridCol w:w="2741"/>
      </w:tblGrid>
      <w:tr w:rsidR="00134C89" w:rsidRPr="004A69F4" w:rsidTr="00C9526B"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4C89" w:rsidRPr="004A69F4" w:rsidRDefault="00134C89" w:rsidP="00C9526B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4. Tantárgy </w:t>
            </w:r>
            <w:r w:rsidRPr="004A69F4">
              <w:rPr>
                <w:sz w:val="22"/>
                <w:szCs w:val="22"/>
                <w:lang w:eastAsia="en-US"/>
              </w:rPr>
              <w:t xml:space="preserve">neve: </w:t>
            </w:r>
            <w:r w:rsidRPr="004A69F4">
              <w:rPr>
                <w:b/>
                <w:sz w:val="22"/>
                <w:szCs w:val="22"/>
                <w:lang w:eastAsia="en-US"/>
              </w:rPr>
              <w:t>A gyógypedagógiai szociológia - szociális támogató rendszer</w:t>
            </w:r>
            <w:r>
              <w:rPr>
                <w:b/>
                <w:sz w:val="22"/>
                <w:szCs w:val="22"/>
                <w:lang w:eastAsia="en-US"/>
              </w:rPr>
              <w:t xml:space="preserve"> NBP_GP112G2</w:t>
            </w:r>
            <w:bookmarkStart w:id="0" w:name="_GoBack"/>
            <w:bookmarkEnd w:id="0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4C89" w:rsidRPr="004A69F4" w:rsidRDefault="00134C89" w:rsidP="00C9526B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Kreditértéke: 2</w:t>
            </w:r>
          </w:p>
        </w:tc>
      </w:tr>
      <w:tr w:rsidR="00134C89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4C89" w:rsidRPr="004A69F4" w:rsidRDefault="00134C89" w:rsidP="00C9526B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kötelező</w:t>
            </w:r>
          </w:p>
        </w:tc>
      </w:tr>
      <w:tr w:rsidR="00134C89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4C89" w:rsidRPr="004A69F4" w:rsidRDefault="00134C89" w:rsidP="00C9526B">
            <w:pPr>
              <w:suppressAutoHyphens/>
              <w:spacing w:before="40" w:after="4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>”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100% gyakorlat</w:t>
            </w:r>
          </w:p>
        </w:tc>
      </w:tr>
      <w:tr w:rsidR="00134C89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4C89" w:rsidRPr="004A69F4" w:rsidRDefault="00134C89" w:rsidP="00C9526B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>tanóra típusa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gyakorlat</w:t>
            </w:r>
            <w:r w:rsidRPr="004A69F4">
              <w:rPr>
                <w:sz w:val="22"/>
                <w:szCs w:val="22"/>
                <w:lang w:eastAsia="en-US"/>
              </w:rPr>
              <w:t xml:space="preserve"> és </w:t>
            </w:r>
            <w:r w:rsidRPr="004A69F4">
              <w:rPr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30 </w:t>
            </w:r>
            <w:r w:rsidRPr="004A69F4">
              <w:rPr>
                <w:sz w:val="22"/>
                <w:szCs w:val="22"/>
                <w:lang w:eastAsia="en-US"/>
              </w:rPr>
              <w:t xml:space="preserve">az adott </w:t>
            </w:r>
            <w:r w:rsidRPr="004A69F4">
              <w:rPr>
                <w:b/>
                <w:sz w:val="22"/>
                <w:szCs w:val="22"/>
                <w:lang w:eastAsia="en-US"/>
              </w:rPr>
              <w:t>félévben</w:t>
            </w:r>
          </w:p>
          <w:p w:rsidR="00134C89" w:rsidRPr="004A69F4" w:rsidRDefault="00134C89" w:rsidP="00C9526B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adott ismeret átadásában alkalmazandó </w:t>
            </w:r>
            <w:r w:rsidRPr="004A69F4">
              <w:rPr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sz w:val="22"/>
                <w:szCs w:val="22"/>
                <w:lang w:eastAsia="en-US"/>
              </w:rPr>
              <w:t xml:space="preserve"> (</w:t>
            </w:r>
            <w:r w:rsidRPr="004A69F4">
              <w:rPr>
                <w:i/>
                <w:sz w:val="22"/>
                <w:szCs w:val="22"/>
                <w:lang w:eastAsia="en-US"/>
              </w:rPr>
              <w:t>sajátos</w:t>
            </w:r>
            <w:r w:rsidRPr="004A69F4">
              <w:rPr>
                <w:sz w:val="22"/>
                <w:szCs w:val="22"/>
                <w:lang w:eastAsia="en-US"/>
              </w:rPr>
              <w:t xml:space="preserve">) </w:t>
            </w:r>
            <w:r w:rsidRPr="004A69F4">
              <w:rPr>
                <w:b/>
                <w:sz w:val="22"/>
                <w:szCs w:val="22"/>
                <w:lang w:eastAsia="en-US"/>
              </w:rPr>
              <w:t>módok, jellemzők</w:t>
            </w:r>
          </w:p>
          <w:p w:rsidR="00134C89" w:rsidRPr="004A69F4" w:rsidRDefault="00134C89" w:rsidP="00C9526B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empirikus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szociológia alapvető módszereinek gyakorlati megismerése és használata –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kérdőívezés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, interjútechnikák, statisztikák elemzése és értelmezése, szociometriai elemzések. Hospitálások a szociális ellátórendszer azon szegmenseiben, ahol fogyatékos személyek ellátása is történik. </w:t>
            </w:r>
          </w:p>
        </w:tc>
      </w:tr>
      <w:tr w:rsidR="00134C89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4C89" w:rsidRPr="004A69F4" w:rsidRDefault="00134C89" w:rsidP="00C9526B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sz w:val="22"/>
                <w:szCs w:val="22"/>
                <w:lang w:eastAsia="en-US"/>
              </w:rPr>
              <w:t xml:space="preserve">módja </w:t>
            </w:r>
            <w:r w:rsidRPr="004A69F4">
              <w:rPr>
                <w:b/>
                <w:sz w:val="22"/>
                <w:szCs w:val="22"/>
                <w:lang w:eastAsia="en-US"/>
              </w:rPr>
              <w:t>gyakorlati jegy</w:t>
            </w:r>
          </w:p>
          <w:p w:rsidR="00134C89" w:rsidRPr="004A69F4" w:rsidRDefault="00134C89" w:rsidP="00C9526B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ismeretellenőrzésben alkalmazandó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további </w:t>
            </w:r>
            <w:r w:rsidRPr="004A69F4">
              <w:rPr>
                <w:sz w:val="22"/>
                <w:szCs w:val="22"/>
                <w:lang w:eastAsia="en-US"/>
              </w:rPr>
              <w:t>(</w:t>
            </w:r>
            <w:r w:rsidRPr="004A69F4">
              <w:rPr>
                <w:i/>
                <w:sz w:val="22"/>
                <w:szCs w:val="22"/>
                <w:lang w:eastAsia="en-US"/>
              </w:rPr>
              <w:t>sajátos</w:t>
            </w:r>
            <w:r w:rsidRPr="004A69F4">
              <w:rPr>
                <w:sz w:val="22"/>
                <w:szCs w:val="22"/>
                <w:lang w:eastAsia="en-US"/>
              </w:rPr>
              <w:t xml:space="preserve">) </w:t>
            </w:r>
            <w:r w:rsidRPr="004A69F4">
              <w:rPr>
                <w:b/>
                <w:sz w:val="22"/>
                <w:szCs w:val="22"/>
                <w:lang w:eastAsia="en-US"/>
              </w:rPr>
              <w:t>módok</w:t>
            </w:r>
            <w:r w:rsidRPr="004A69F4">
              <w:rPr>
                <w:sz w:val="22"/>
                <w:szCs w:val="22"/>
                <w:lang w:eastAsia="en-US"/>
              </w:rPr>
              <w:t>:</w:t>
            </w:r>
          </w:p>
          <w:p w:rsidR="00134C89" w:rsidRPr="004A69F4" w:rsidRDefault="00134C89" w:rsidP="00C9526B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Folyamatos számonkérés, tematikus prezentációk készítése kiscsoportban, ill. egyénileg. Az intézményrendszerben történt hospitálásokról reflektív naplók vezetése.</w:t>
            </w:r>
          </w:p>
        </w:tc>
      </w:tr>
      <w:tr w:rsidR="00134C89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4C89" w:rsidRPr="004A69F4" w:rsidRDefault="00134C89" w:rsidP="00C9526B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b/>
                <w:sz w:val="22"/>
                <w:szCs w:val="22"/>
                <w:lang w:eastAsia="en-US"/>
              </w:rPr>
              <w:t>tantervi helye</w:t>
            </w:r>
            <w:r w:rsidRPr="004A69F4">
              <w:rPr>
                <w:sz w:val="22"/>
                <w:szCs w:val="22"/>
                <w:lang w:eastAsia="en-US"/>
              </w:rPr>
              <w:t xml:space="preserve"> (hányadik félév): </w:t>
            </w:r>
            <w:r w:rsidRPr="004A69F4">
              <w:rPr>
                <w:b/>
                <w:sz w:val="22"/>
                <w:szCs w:val="22"/>
                <w:lang w:eastAsia="en-US"/>
              </w:rPr>
              <w:t>2. félév</w:t>
            </w:r>
          </w:p>
        </w:tc>
      </w:tr>
      <w:tr w:rsidR="00134C89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4C89" w:rsidRPr="004A69F4" w:rsidRDefault="00134C89" w:rsidP="00C9526B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Előtanulmányi feltételek: -</w:t>
            </w:r>
          </w:p>
        </w:tc>
      </w:tr>
      <w:tr w:rsidR="00134C89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4C89" w:rsidRPr="004A69F4" w:rsidRDefault="00134C89" w:rsidP="00C9526B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sz w:val="22"/>
                <w:szCs w:val="22"/>
                <w:lang w:eastAsia="en-US"/>
              </w:rPr>
              <w:t xml:space="preserve">: az elsajátítandó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ismeretanyag tömör, ugyanakkor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informáló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 xml:space="preserve"> leírása</w:t>
            </w:r>
          </w:p>
        </w:tc>
      </w:tr>
      <w:tr w:rsidR="00134C89" w:rsidRPr="004A69F4" w:rsidTr="00C9526B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4C89" w:rsidRPr="004A69F4" w:rsidRDefault="00134C89" w:rsidP="00C9526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 tantárgy célja</w:t>
            </w:r>
            <w:r w:rsidRPr="004A69F4">
              <w:rPr>
                <w:sz w:val="22"/>
                <w:szCs w:val="22"/>
                <w:lang w:eastAsia="en-US"/>
              </w:rPr>
              <w:t>: Megismertetni a hallgatókat a gyógy</w:t>
            </w:r>
            <w:r>
              <w:rPr>
                <w:sz w:val="22"/>
                <w:szCs w:val="22"/>
                <w:lang w:eastAsia="en-US"/>
              </w:rPr>
              <w:t xml:space="preserve">pedagógia </w:t>
            </w:r>
            <w:r w:rsidRPr="004A69F4">
              <w:rPr>
                <w:sz w:val="22"/>
                <w:szCs w:val="22"/>
                <w:lang w:eastAsia="en-US"/>
              </w:rPr>
              <w:t xml:space="preserve">szociális, társadalmi megközelítésével. A gyógypedagógiai szükséglet vagy „fogyatékosság” nem egyszerűen fizikális tény, hanem nagymértékben függ a társadalmi környezet megítélésétől. Maga a fogyatékosság megközelítése – és ennek tükrében megnevezése is – térben és időben változó, javarészt társadalmi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konstrukció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. A tantárgy célja rávilágítani a fogyatékossággal élők társadalmi helyzetére: Különálló társadalmi csoportnak tekinthetők-e a fogyatékossággal élők? Mi a szerepük a mai magyar társadalom szerkezetében? Szociális jellemzőik miben különböznek, és miben egyeznek egészséges kortársaiktól? A tantárgy elmélyíti a hallgatók szociális érzékenységét és elősegíti kritikus gondolkodásukat. Elméleti és gyakorlati ismereteik bővítésén keresztül felkészíti a hallgatókat a gyógypedagógia társadalmi keretbe foglalt megközelítéséhez. </w:t>
            </w:r>
          </w:p>
          <w:p w:rsidR="00134C89" w:rsidRPr="004A69F4" w:rsidRDefault="00134C89" w:rsidP="00C9526B">
            <w:pPr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 tantárgy tartalma:</w:t>
            </w:r>
          </w:p>
          <w:p w:rsidR="00134C89" w:rsidRPr="004A69F4" w:rsidRDefault="00134C89" w:rsidP="00134C89">
            <w:pPr>
              <w:numPr>
                <w:ilvl w:val="0"/>
                <w:numId w:val="9"/>
              </w:numPr>
              <w:tabs>
                <w:tab w:val="left" w:pos="34"/>
              </w:tabs>
              <w:spacing w:after="200" w:line="256" w:lineRule="auto"/>
              <w:ind w:left="39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gyógypedagógia, mint társadalomtudomány</w:t>
            </w:r>
          </w:p>
          <w:p w:rsidR="00134C89" w:rsidRPr="004A69F4" w:rsidRDefault="00134C89" w:rsidP="00134C89">
            <w:pPr>
              <w:numPr>
                <w:ilvl w:val="0"/>
                <w:numId w:val="9"/>
              </w:numPr>
              <w:tabs>
                <w:tab w:val="left" w:pos="34"/>
              </w:tabs>
              <w:spacing w:after="200" w:line="256" w:lineRule="auto"/>
              <w:ind w:left="39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Történelmi és térbeni kitekintés: A gyógypedagógia társadalmi gyökerei és alternatív tudományok</w:t>
            </w:r>
          </w:p>
          <w:p w:rsidR="00134C89" w:rsidRPr="004A69F4" w:rsidRDefault="00134C89" w:rsidP="00134C89">
            <w:pPr>
              <w:numPr>
                <w:ilvl w:val="0"/>
                <w:numId w:val="9"/>
              </w:numPr>
              <w:tabs>
                <w:tab w:val="left" w:pos="34"/>
              </w:tabs>
              <w:spacing w:after="200" w:line="256" w:lineRule="auto"/>
              <w:ind w:left="39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Fogyatékosság,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disability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client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empowerment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>: változó megközelítések</w:t>
            </w:r>
          </w:p>
          <w:p w:rsidR="00134C89" w:rsidRPr="004A69F4" w:rsidRDefault="00134C89" w:rsidP="00134C89">
            <w:pPr>
              <w:numPr>
                <w:ilvl w:val="0"/>
                <w:numId w:val="9"/>
              </w:numPr>
              <w:tabs>
                <w:tab w:val="left" w:pos="34"/>
              </w:tabs>
              <w:spacing w:after="200" w:line="256" w:lineRule="auto"/>
              <w:ind w:left="39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fogyatékosság, mint társadalmi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kategória</w:t>
            </w:r>
            <w:proofErr w:type="gramEnd"/>
          </w:p>
          <w:p w:rsidR="00134C89" w:rsidRPr="001B7199" w:rsidRDefault="00134C89" w:rsidP="00134C89">
            <w:pPr>
              <w:numPr>
                <w:ilvl w:val="0"/>
                <w:numId w:val="9"/>
              </w:numPr>
              <w:tabs>
                <w:tab w:val="left" w:pos="34"/>
              </w:tabs>
              <w:spacing w:after="200" w:line="256" w:lineRule="auto"/>
              <w:ind w:left="36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Fogyaté</w:t>
            </w:r>
            <w:r>
              <w:rPr>
                <w:sz w:val="22"/>
                <w:szCs w:val="22"/>
                <w:lang w:eastAsia="en-US"/>
              </w:rPr>
              <w:t xml:space="preserve">kosság és társadalmi </w:t>
            </w:r>
            <w:proofErr w:type="gramStart"/>
            <w:r>
              <w:rPr>
                <w:sz w:val="22"/>
                <w:szCs w:val="22"/>
                <w:lang w:eastAsia="en-US"/>
              </w:rPr>
              <w:t>struktúra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1B7199">
              <w:rPr>
                <w:sz w:val="22"/>
                <w:szCs w:val="22"/>
                <w:lang w:eastAsia="en-US"/>
              </w:rPr>
              <w:t>fogyatékosszerep és a</w:t>
            </w:r>
            <w:r>
              <w:rPr>
                <w:sz w:val="22"/>
                <w:szCs w:val="22"/>
                <w:lang w:eastAsia="en-US"/>
              </w:rPr>
              <w:t xml:space="preserve"> fogyatékos személyek életmódja.</w:t>
            </w:r>
          </w:p>
          <w:p w:rsidR="00134C89" w:rsidRPr="001B7199" w:rsidRDefault="00134C89" w:rsidP="00134C89">
            <w:pPr>
              <w:numPr>
                <w:ilvl w:val="0"/>
                <w:numId w:val="9"/>
              </w:numPr>
              <w:tabs>
                <w:tab w:val="left" w:pos="34"/>
              </w:tabs>
              <w:spacing w:after="200" w:line="256" w:lineRule="auto"/>
              <w:ind w:left="39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Az egészség és a szociális háttér összefüggései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1B7199">
              <w:rPr>
                <w:sz w:val="22"/>
                <w:szCs w:val="22"/>
                <w:lang w:eastAsia="en-US"/>
              </w:rPr>
              <w:t>Szociális esélyteremtés a gyógypedagógia segítségével</w:t>
            </w:r>
          </w:p>
          <w:p w:rsidR="00134C89" w:rsidRPr="001B7199" w:rsidRDefault="00134C89" w:rsidP="00134C89">
            <w:pPr>
              <w:numPr>
                <w:ilvl w:val="0"/>
                <w:numId w:val="9"/>
              </w:numPr>
              <w:tabs>
                <w:tab w:val="left" w:pos="34"/>
              </w:tabs>
              <w:spacing w:after="200" w:line="256" w:lineRule="auto"/>
              <w:ind w:left="36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B7199">
              <w:rPr>
                <w:sz w:val="22"/>
                <w:szCs w:val="22"/>
                <w:lang w:eastAsia="en-US"/>
              </w:rPr>
              <w:t>Fogyatékosság és életmód</w:t>
            </w:r>
          </w:p>
          <w:p w:rsidR="00134C89" w:rsidRPr="001B7199" w:rsidRDefault="00134C89" w:rsidP="00134C89">
            <w:pPr>
              <w:numPr>
                <w:ilvl w:val="0"/>
                <w:numId w:val="9"/>
              </w:numPr>
              <w:tabs>
                <w:tab w:val="left" w:pos="34"/>
              </w:tabs>
              <w:spacing w:after="200" w:line="256" w:lineRule="auto"/>
              <w:ind w:left="36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B7199">
              <w:rPr>
                <w:sz w:val="22"/>
                <w:szCs w:val="22"/>
                <w:lang w:eastAsia="en-US"/>
              </w:rPr>
              <w:t>Az életmód eltérései a különböző településtípusok esetében</w:t>
            </w:r>
          </w:p>
          <w:p w:rsidR="00134C89" w:rsidRPr="004A69F4" w:rsidRDefault="00134C89" w:rsidP="00134C89">
            <w:pPr>
              <w:numPr>
                <w:ilvl w:val="0"/>
                <w:numId w:val="9"/>
              </w:numPr>
              <w:tabs>
                <w:tab w:val="left" w:pos="34"/>
              </w:tabs>
              <w:spacing w:after="200" w:line="256" w:lineRule="auto"/>
              <w:ind w:left="36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B7199">
              <w:rPr>
                <w:sz w:val="22"/>
                <w:szCs w:val="22"/>
                <w:lang w:eastAsia="en-US"/>
              </w:rPr>
              <w:t xml:space="preserve">A fogyatékosügy néhány politikai </w:t>
            </w:r>
            <w:proofErr w:type="gramStart"/>
            <w:r w:rsidRPr="001B7199">
              <w:rPr>
                <w:sz w:val="22"/>
                <w:szCs w:val="22"/>
                <w:lang w:eastAsia="en-US"/>
              </w:rPr>
              <w:t>aspektusa</w:t>
            </w:r>
            <w:proofErr w:type="gramEnd"/>
          </w:p>
          <w:p w:rsidR="00134C89" w:rsidRPr="004A69F4" w:rsidRDefault="00134C89" w:rsidP="00134C89">
            <w:pPr>
              <w:numPr>
                <w:ilvl w:val="0"/>
                <w:numId w:val="9"/>
              </w:numPr>
              <w:tabs>
                <w:tab w:val="left" w:pos="34"/>
              </w:tabs>
              <w:spacing w:after="200" w:line="256" w:lineRule="auto"/>
              <w:ind w:left="39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Hospitálások a fogyatékos személyekkel is foglalkozó szociális intézményekben. (Felnőtt fogyatékosok intézményei) </w:t>
            </w:r>
          </w:p>
          <w:p w:rsidR="00134C89" w:rsidRPr="004A69F4" w:rsidRDefault="00134C89" w:rsidP="00134C89">
            <w:pPr>
              <w:numPr>
                <w:ilvl w:val="0"/>
                <w:numId w:val="9"/>
              </w:numPr>
              <w:tabs>
                <w:tab w:val="left" w:pos="34"/>
              </w:tabs>
              <w:spacing w:after="200" w:line="256" w:lineRule="auto"/>
              <w:ind w:left="39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Nemzetközi kitekintés: Európai jogok és jó gyakorlatok, UN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Convention</w:t>
            </w:r>
            <w:proofErr w:type="spellEnd"/>
          </w:p>
        </w:tc>
      </w:tr>
      <w:tr w:rsidR="00134C89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34C89" w:rsidRPr="004A69F4" w:rsidRDefault="00134C89" w:rsidP="00C9526B">
            <w:pPr>
              <w:suppressAutoHyphens/>
              <w:spacing w:line="25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>irodalom felsorolása</w:t>
            </w:r>
          </w:p>
        </w:tc>
      </w:tr>
      <w:tr w:rsidR="00134C89" w:rsidRPr="004A69F4" w:rsidTr="00C9526B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34C89" w:rsidRPr="004A69F4" w:rsidRDefault="00134C89" w:rsidP="00C9526B">
            <w:pPr>
              <w:spacing w:line="257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Kötelező irodalom: </w:t>
            </w:r>
          </w:p>
          <w:p w:rsidR="00134C89" w:rsidRPr="004A69F4" w:rsidRDefault="00134C89" w:rsidP="00134C89">
            <w:pPr>
              <w:numPr>
                <w:ilvl w:val="0"/>
                <w:numId w:val="15"/>
              </w:numPr>
              <w:spacing w:line="257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sz w:val="22"/>
                <w:szCs w:val="22"/>
                <w:lang w:eastAsia="en-US"/>
              </w:rPr>
              <w:lastRenderedPageBreak/>
              <w:t>Bánfalvy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Csaba (2014): Gyógypedagógiai szociológia. ELTE Bárczi Gusztáv Gyógypedagógiai Kar, Budapest </w:t>
            </w:r>
          </w:p>
          <w:p w:rsidR="00134C89" w:rsidRPr="00566211" w:rsidRDefault="00134C89" w:rsidP="00134C89">
            <w:pPr>
              <w:numPr>
                <w:ilvl w:val="0"/>
                <w:numId w:val="15"/>
              </w:numPr>
              <w:spacing w:line="257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sz w:val="22"/>
                <w:szCs w:val="22"/>
                <w:lang w:eastAsia="en-US"/>
              </w:rPr>
              <w:t>Bánfalvy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Csaba (2000): Fogyatékosság és szociális hátrány. In Illyés Sándor (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>.):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66211">
              <w:rPr>
                <w:sz w:val="22"/>
                <w:szCs w:val="22"/>
                <w:lang w:eastAsia="en-US"/>
              </w:rPr>
              <w:t>Gyógypedagógiai alapismeretek (pp. 81-115). BGGYTF, Budapest.</w:t>
            </w:r>
          </w:p>
          <w:p w:rsidR="00134C89" w:rsidRPr="004A69F4" w:rsidRDefault="00134C89" w:rsidP="00134C89">
            <w:pPr>
              <w:numPr>
                <w:ilvl w:val="0"/>
                <w:numId w:val="15"/>
              </w:numPr>
              <w:spacing w:line="257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Hernádi Ilona (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>.)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( 2015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): A felelet kérdései közt. A fogyatékosságtudomány Magyarországon. ELTE Bárczi Gusztáv Gyógypedagógiai Kar, Budapest </w:t>
            </w:r>
          </w:p>
          <w:p w:rsidR="00134C89" w:rsidRPr="004A69F4" w:rsidRDefault="00134C89" w:rsidP="00134C89">
            <w:pPr>
              <w:numPr>
                <w:ilvl w:val="0"/>
                <w:numId w:val="15"/>
              </w:numPr>
              <w:spacing w:line="257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sz w:val="22"/>
                <w:szCs w:val="22"/>
                <w:lang w:eastAsia="en-US"/>
              </w:rPr>
              <w:t>Könczei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György (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.)(2009): A súlyos és halmozott fogyatékossággal élők helyzete Magyarországon. ELTE Bárczi Gusztáv Gyógypedagógiai Kar, Budapest </w:t>
            </w:r>
          </w:p>
          <w:p w:rsidR="00134C89" w:rsidRPr="004A69F4" w:rsidRDefault="00134C89" w:rsidP="00C9526B">
            <w:pPr>
              <w:spacing w:line="257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Ajánlott irodalom</w:t>
            </w:r>
          </w:p>
          <w:p w:rsidR="00134C89" w:rsidRPr="00566211" w:rsidRDefault="00134C89" w:rsidP="00134C89">
            <w:pPr>
              <w:numPr>
                <w:ilvl w:val="0"/>
                <w:numId w:val="15"/>
              </w:numPr>
              <w:spacing w:line="257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Regényi Enikő ̶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Cserti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>-Szauer Csilla ̶ Szabó Ákosné (2019): A felnőttkor, belépés 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66211">
              <w:rPr>
                <w:sz w:val="22"/>
                <w:szCs w:val="22"/>
                <w:lang w:eastAsia="en-US"/>
              </w:rPr>
              <w:t>munka világába, életkörülmények, életvezetés. In Mesterházi Zsuzsa ̶Szekeres Ágota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66211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Pr="00566211">
              <w:rPr>
                <w:sz w:val="22"/>
                <w:szCs w:val="22"/>
                <w:lang w:eastAsia="en-US"/>
              </w:rPr>
              <w:t>szerk</w:t>
            </w:r>
            <w:proofErr w:type="spellEnd"/>
            <w:r w:rsidRPr="00566211">
              <w:rPr>
                <w:sz w:val="22"/>
                <w:szCs w:val="22"/>
                <w:lang w:eastAsia="en-US"/>
              </w:rPr>
              <w:t>.): A nehezen tanuló gyermekek iskolai nevelése. (pp.495-511). ELTE Eötvös Kiadó, Budapest.</w:t>
            </w:r>
          </w:p>
          <w:p w:rsidR="00134C89" w:rsidRPr="004A69F4" w:rsidRDefault="00134C89" w:rsidP="00134C89">
            <w:pPr>
              <w:numPr>
                <w:ilvl w:val="0"/>
                <w:numId w:val="15"/>
              </w:numPr>
              <w:spacing w:line="257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Mayer József –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Kőpatakiné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Mészáros Mária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.)(2011)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:  Szavak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tettek. Sajátos nevelési igényű tanulók a közoktatásban a 21. század első évtizedében Magyarországon. </w:t>
            </w:r>
            <w:r w:rsidRPr="004A69F4">
              <w:rPr>
                <w:sz w:val="22"/>
                <w:szCs w:val="22"/>
                <w:lang w:eastAsia="en-US"/>
              </w:rPr>
              <w:t>Oktatási és Fejlesztő Intézet, Budapest.</w:t>
            </w:r>
          </w:p>
          <w:p w:rsidR="00134C89" w:rsidRPr="004A69F4" w:rsidRDefault="00134C89" w:rsidP="00134C89">
            <w:pPr>
              <w:numPr>
                <w:ilvl w:val="0"/>
                <w:numId w:val="15"/>
              </w:numPr>
              <w:spacing w:line="257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Berényi Eszter–Erőss Gábor–Neumann Eszter (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.)(2013): Tudás és politika. A közpolitika-alkotás gyakorlata.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L’Harmattan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>, Budapest.</w:t>
            </w:r>
          </w:p>
        </w:tc>
      </w:tr>
      <w:tr w:rsidR="00134C89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34C89" w:rsidRPr="004A69F4" w:rsidRDefault="00134C89" w:rsidP="00C9526B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lastRenderedPageBreak/>
              <w:t xml:space="preserve">Azoknak az </w:t>
            </w:r>
            <w:r w:rsidRPr="004A69F4">
              <w:rPr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i/>
                <w:sz w:val="22"/>
                <w:szCs w:val="22"/>
                <w:lang w:eastAsia="en-US"/>
              </w:rPr>
              <w:t>(tudás, képesség</w:t>
            </w:r>
            <w:r w:rsidRPr="004A69F4">
              <w:rPr>
                <w:sz w:val="22"/>
                <w:szCs w:val="22"/>
                <w:lang w:eastAsia="en-US"/>
              </w:rPr>
              <w:t xml:space="preserve"> stb., 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KKK </w:t>
            </w:r>
            <w:r w:rsidRPr="004A69F4">
              <w:rPr>
                <w:b/>
                <w:i/>
                <w:sz w:val="22"/>
                <w:szCs w:val="22"/>
                <w:lang w:eastAsia="en-US"/>
              </w:rPr>
              <w:t>7.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 pont</w:t>
            </w:r>
            <w:r w:rsidRPr="004A69F4">
              <w:rPr>
                <w:sz w:val="22"/>
                <w:szCs w:val="22"/>
                <w:lang w:eastAsia="en-US"/>
              </w:rPr>
              <w:t xml:space="preserve">) a felsorolása, </w:t>
            </w:r>
            <w:r w:rsidRPr="004A69F4">
              <w:rPr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134C89" w:rsidRPr="004A69F4" w:rsidTr="00C9526B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4C89" w:rsidRPr="004A69F4" w:rsidRDefault="00134C89" w:rsidP="00134C89">
            <w:pPr>
              <w:numPr>
                <w:ilvl w:val="0"/>
                <w:numId w:val="18"/>
              </w:numPr>
              <w:tabs>
                <w:tab w:val="left" w:pos="317"/>
              </w:tabs>
              <w:suppressAutoHyphens/>
              <w:spacing w:line="257" w:lineRule="auto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tudása</w:t>
            </w:r>
          </w:p>
          <w:p w:rsidR="00134C89" w:rsidRPr="004A69F4" w:rsidRDefault="00134C89" w:rsidP="00134C89">
            <w:pPr>
              <w:numPr>
                <w:ilvl w:val="0"/>
                <w:numId w:val="19"/>
              </w:numPr>
              <w:spacing w:line="257" w:lineRule="auto"/>
              <w:ind w:left="601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Ismeri a fogyatékosságügy, a gyógypedagógia és a gyógypedagógiához kapcsolódó határtudományok fogyatékos, sérült, akadályozott személyekre vonatkozó történeti elemeit, alapvető társadalmi folyamatait, legfontosabb elméleteit, összefüggéseit és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probléma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>-megoldási módszereit.</w:t>
            </w:r>
          </w:p>
          <w:p w:rsidR="00134C89" w:rsidRPr="004A69F4" w:rsidRDefault="00134C89" w:rsidP="00134C89">
            <w:pPr>
              <w:numPr>
                <w:ilvl w:val="0"/>
                <w:numId w:val="19"/>
              </w:numPr>
              <w:spacing w:line="257" w:lineRule="auto"/>
              <w:ind w:left="601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Ismeri a fogyatékossággal élő személyekkel kapcsolatos alapvető specifikus kutatásmódszertani kérdéseket, módszereket és kutatásetikai alapelveket.</w:t>
            </w:r>
          </w:p>
          <w:p w:rsidR="00134C89" w:rsidRPr="004A69F4" w:rsidRDefault="00134C89" w:rsidP="00134C89">
            <w:pPr>
              <w:numPr>
                <w:ilvl w:val="0"/>
                <w:numId w:val="19"/>
              </w:numPr>
              <w:spacing w:line="257" w:lineRule="auto"/>
              <w:ind w:left="601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Ismeri a személyiségfejlődési,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viselkedésbeli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, érzelmi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problémákkal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küzdő népességcsoportokhoz kapcsolódó bánásmódot, az ellátás hazai módszereit és gyakorlatát, rálátása van külföldi jó gyakorlatokra.</w:t>
            </w:r>
          </w:p>
          <w:p w:rsidR="00134C89" w:rsidRPr="004A69F4" w:rsidRDefault="00134C89" w:rsidP="00134C89">
            <w:pPr>
              <w:numPr>
                <w:ilvl w:val="0"/>
                <w:numId w:val="18"/>
              </w:numPr>
              <w:tabs>
                <w:tab w:val="left" w:pos="317"/>
              </w:tabs>
              <w:suppressAutoHyphens/>
              <w:spacing w:line="257" w:lineRule="auto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képességei</w:t>
            </w:r>
          </w:p>
          <w:p w:rsidR="00134C89" w:rsidRPr="004A69F4" w:rsidRDefault="00134C89" w:rsidP="00134C89">
            <w:pPr>
              <w:numPr>
                <w:ilvl w:val="0"/>
                <w:numId w:val="20"/>
              </w:numPr>
              <w:spacing w:line="257" w:lineRule="auto"/>
              <w:ind w:left="601" w:hanging="425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Alapvető kutatásmódszertani ismereteit az adott fogyatékossági csoportnak megfelelően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adaptív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módon alkalmazza, felismeri, hogy az adott fogyatékossági csoportnak és kutatási témának megfelelően milyen kutatási módszert célszerű alkalmazni. Lehetőség szerint inkluzív kutatásmódszertani eljárásokra törekszik.</w:t>
            </w:r>
          </w:p>
          <w:p w:rsidR="00134C89" w:rsidRPr="004A69F4" w:rsidRDefault="00134C89" w:rsidP="00134C89">
            <w:pPr>
              <w:numPr>
                <w:ilvl w:val="0"/>
                <w:numId w:val="20"/>
              </w:numPr>
              <w:spacing w:line="257" w:lineRule="auto"/>
              <w:ind w:left="601" w:hanging="425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Tudományos igényű szakszövegeket a saját szakterületén legalább egy idegen nyelven is önállóan olvas, a fogyatékosságügy és gyógypedagógia alapvető szakirodalmait megérti, szakszerűen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reflektál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rájuk, és képes azokat használni egy tudományos dolgozat megírásához a megfelelő hivatkozásokkal.</w:t>
            </w:r>
          </w:p>
          <w:p w:rsidR="00134C89" w:rsidRPr="004A69F4" w:rsidRDefault="00134C89" w:rsidP="00134C89">
            <w:pPr>
              <w:numPr>
                <w:ilvl w:val="0"/>
                <w:numId w:val="20"/>
              </w:numPr>
              <w:spacing w:line="257" w:lineRule="auto"/>
              <w:ind w:left="601" w:hanging="425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Felismeri egy módszer tudományos megalapozottságának meglétét vagy hiányát.</w:t>
            </w:r>
            <w:r w:rsidRPr="004A69F4">
              <w:rPr>
                <w:iCs/>
                <w:sz w:val="22"/>
                <w:szCs w:val="22"/>
                <w:lang w:eastAsia="en-US"/>
              </w:rPr>
              <w:t xml:space="preserve"> </w:t>
            </w:r>
          </w:p>
          <w:p w:rsidR="00134C89" w:rsidRPr="004A69F4" w:rsidRDefault="00134C89" w:rsidP="00134C89">
            <w:pPr>
              <w:numPr>
                <w:ilvl w:val="0"/>
                <w:numId w:val="18"/>
              </w:numPr>
              <w:tabs>
                <w:tab w:val="left" w:pos="317"/>
              </w:tabs>
              <w:suppressAutoHyphens/>
              <w:spacing w:line="257" w:lineRule="auto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attitűdje</w:t>
            </w:r>
          </w:p>
          <w:p w:rsidR="00134C89" w:rsidRPr="004A69F4" w:rsidRDefault="00134C89" w:rsidP="00134C89">
            <w:pPr>
              <w:numPr>
                <w:ilvl w:val="0"/>
                <w:numId w:val="21"/>
              </w:numPr>
              <w:spacing w:line="257" w:lineRule="auto"/>
              <w:ind w:left="601" w:hanging="425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fogyatékos emberekkel kapcsolatos társadalmi és történeti folyamatokat, megközelítéseket összefüggéseiben látja, ezeken keresztül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reflektál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a jelen problémáira, ezekről megalapozott szakmai véleményt formál, és kulturált vitát folytat.</w:t>
            </w:r>
          </w:p>
          <w:p w:rsidR="00134C89" w:rsidRPr="004A69F4" w:rsidRDefault="00134C89" w:rsidP="00134C89">
            <w:pPr>
              <w:numPr>
                <w:ilvl w:val="0"/>
                <w:numId w:val="21"/>
              </w:numPr>
              <w:spacing w:line="257" w:lineRule="auto"/>
              <w:ind w:left="601" w:hanging="425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fogyatékos emberekkel kapcsolatos társadalmi és történeti folyamatokat, megközelítéseket, intézményi és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szolgáltatásbeli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formákat nyitottan és kritikusan szemléli, részt vállal a gyógypedagógiával és fogyatékosságüggyel kapcsolatos fejlesztési, innovációs tevékenységekben.</w:t>
            </w:r>
          </w:p>
          <w:p w:rsidR="00134C89" w:rsidRPr="004A69F4" w:rsidRDefault="00134C89" w:rsidP="00134C89">
            <w:pPr>
              <w:numPr>
                <w:ilvl w:val="0"/>
                <w:numId w:val="21"/>
              </w:numPr>
              <w:spacing w:line="257" w:lineRule="auto"/>
              <w:ind w:left="601" w:hanging="425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Fogyatékos személyekkel kapcsolatos kutatásai során teljes mértékben törekszik a fogyatékossággal kapcsolatos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etikai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problémák figyelembe vételére.</w:t>
            </w:r>
          </w:p>
          <w:p w:rsidR="00134C89" w:rsidRPr="004A69F4" w:rsidRDefault="00134C89" w:rsidP="00134C89">
            <w:pPr>
              <w:numPr>
                <w:ilvl w:val="0"/>
                <w:numId w:val="22"/>
              </w:numPr>
              <w:tabs>
                <w:tab w:val="left" w:pos="317"/>
              </w:tabs>
              <w:suppressAutoHyphens/>
              <w:spacing w:line="257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lastRenderedPageBreak/>
              <w:t xml:space="preserve">autonómiája és felelőssége </w:t>
            </w:r>
          </w:p>
          <w:p w:rsidR="00134C89" w:rsidRPr="004A69F4" w:rsidRDefault="00134C89" w:rsidP="00134C89">
            <w:pPr>
              <w:numPr>
                <w:ilvl w:val="0"/>
                <w:numId w:val="14"/>
              </w:numPr>
              <w:spacing w:line="257" w:lineRule="auto"/>
              <w:ind w:left="601" w:hanging="425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Tudatosan képviseli a gyógypedagógia és határtudományai, társtudományai módszertani kultúráját.</w:t>
            </w:r>
          </w:p>
          <w:p w:rsidR="00134C89" w:rsidRPr="004A69F4" w:rsidRDefault="00134C89" w:rsidP="00134C89">
            <w:pPr>
              <w:numPr>
                <w:ilvl w:val="0"/>
                <w:numId w:val="13"/>
              </w:numPr>
              <w:suppressAutoHyphens/>
              <w:spacing w:line="257" w:lineRule="auto"/>
              <w:ind w:left="601" w:hanging="425"/>
              <w:contextualSpacing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Szakmai együttműködések kialakításában és fenntartásában felelősséggel működik közre.</w:t>
            </w:r>
          </w:p>
        </w:tc>
      </w:tr>
      <w:tr w:rsidR="00134C89" w:rsidRPr="004A69F4" w:rsidTr="00C9526B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4C89" w:rsidRPr="004A69F4" w:rsidRDefault="00134C89" w:rsidP="00C9526B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lastRenderedPageBreak/>
              <w:t xml:space="preserve">Tantárgy felelőse: Dr. habil. </w:t>
            </w:r>
            <w:proofErr w:type="spellStart"/>
            <w:r w:rsidRPr="004A69F4">
              <w:rPr>
                <w:b/>
                <w:sz w:val="22"/>
                <w:szCs w:val="22"/>
                <w:lang w:eastAsia="en-US"/>
              </w:rPr>
              <w:t>Domonkosi</w:t>
            </w:r>
            <w:proofErr w:type="spellEnd"/>
            <w:r w:rsidRPr="004A69F4">
              <w:rPr>
                <w:b/>
                <w:sz w:val="22"/>
                <w:szCs w:val="22"/>
                <w:lang w:eastAsia="en-US"/>
              </w:rPr>
              <w:t xml:space="preserve"> Ágnes </w:t>
            </w:r>
            <w:r>
              <w:rPr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b/>
                <w:sz w:val="22"/>
                <w:szCs w:val="22"/>
                <w:lang w:eastAsia="en-US"/>
              </w:rPr>
              <w:t>főiskolai tanár</w:t>
            </w:r>
          </w:p>
        </w:tc>
      </w:tr>
      <w:tr w:rsidR="00134C89" w:rsidRPr="004A69F4" w:rsidTr="00C9526B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4C89" w:rsidRPr="004A69F4" w:rsidRDefault="00134C89" w:rsidP="00C9526B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Tantárgy oktatásába bevont oktatók: Dr. Dobó Marianna </w:t>
            </w:r>
            <w:r>
              <w:rPr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főiskolai docens, </w:t>
            </w:r>
          </w:p>
          <w:p w:rsidR="00134C89" w:rsidRPr="004A69F4" w:rsidRDefault="00134C89" w:rsidP="00C9526B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Dr. Furcsa Laura főiskolai docens, Hegyi Lili </w:t>
            </w:r>
            <w:r>
              <w:rPr>
                <w:b/>
                <w:sz w:val="22"/>
                <w:szCs w:val="22"/>
                <w:lang w:eastAsia="en-US"/>
              </w:rPr>
              <w:t xml:space="preserve">gyógypedagógus, </w:t>
            </w:r>
            <w:r w:rsidRPr="004A69F4">
              <w:rPr>
                <w:b/>
                <w:sz w:val="22"/>
                <w:szCs w:val="22"/>
                <w:lang w:eastAsia="en-US"/>
              </w:rPr>
              <w:t>mesteroktató</w:t>
            </w:r>
          </w:p>
        </w:tc>
      </w:tr>
    </w:tbl>
    <w:p w:rsidR="00091AF2" w:rsidRDefault="00091AF2" w:rsidP="00290ABA"/>
    <w:p w:rsidR="00134C89" w:rsidRPr="00290ABA" w:rsidRDefault="00134C89" w:rsidP="00290ABA"/>
    <w:sectPr w:rsidR="00134C89" w:rsidRPr="0029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C3D"/>
    <w:multiLevelType w:val="hybridMultilevel"/>
    <w:tmpl w:val="B0BCBB9E"/>
    <w:lvl w:ilvl="0" w:tplc="89202EA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5119"/>
    <w:multiLevelType w:val="hybridMultilevel"/>
    <w:tmpl w:val="049E9EB4"/>
    <w:lvl w:ilvl="0" w:tplc="457ABE1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D907ED4"/>
    <w:multiLevelType w:val="hybridMultilevel"/>
    <w:tmpl w:val="C90E9F42"/>
    <w:lvl w:ilvl="0" w:tplc="457AB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2586"/>
    <w:multiLevelType w:val="hybridMultilevel"/>
    <w:tmpl w:val="1C761CE0"/>
    <w:lvl w:ilvl="0" w:tplc="457AB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A57BD"/>
    <w:multiLevelType w:val="hybridMultilevel"/>
    <w:tmpl w:val="469C5CDA"/>
    <w:lvl w:ilvl="0" w:tplc="457AB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C2274"/>
    <w:multiLevelType w:val="multilevel"/>
    <w:tmpl w:val="19BCC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575594"/>
    <w:multiLevelType w:val="hybridMultilevel"/>
    <w:tmpl w:val="BB12158E"/>
    <w:lvl w:ilvl="0" w:tplc="457ABE1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0B47ADD"/>
    <w:multiLevelType w:val="hybridMultilevel"/>
    <w:tmpl w:val="6DE6B0F4"/>
    <w:lvl w:ilvl="0" w:tplc="A4141BC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B6B91"/>
    <w:multiLevelType w:val="multilevel"/>
    <w:tmpl w:val="19BCC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4FA3790"/>
    <w:multiLevelType w:val="hybridMultilevel"/>
    <w:tmpl w:val="82242F6C"/>
    <w:lvl w:ilvl="0" w:tplc="1C3201E2">
      <w:start w:val="4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443AE"/>
    <w:multiLevelType w:val="hybridMultilevel"/>
    <w:tmpl w:val="3616612C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65901DA0"/>
    <w:multiLevelType w:val="hybridMultilevel"/>
    <w:tmpl w:val="9EBC1768"/>
    <w:lvl w:ilvl="0" w:tplc="040E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ung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Tung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Tung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6ADB1D96"/>
    <w:multiLevelType w:val="hybridMultilevel"/>
    <w:tmpl w:val="701416F4"/>
    <w:lvl w:ilvl="0" w:tplc="DC08E2A8">
      <w:start w:val="4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8720C"/>
    <w:multiLevelType w:val="hybridMultilevel"/>
    <w:tmpl w:val="EB940BCC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72002C06"/>
    <w:multiLevelType w:val="hybridMultilevel"/>
    <w:tmpl w:val="4650EFE2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7C2C013C"/>
    <w:multiLevelType w:val="hybridMultilevel"/>
    <w:tmpl w:val="DFDA4F46"/>
    <w:lvl w:ilvl="0" w:tplc="3468D67C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7C5A5329"/>
    <w:multiLevelType w:val="hybridMultilevel"/>
    <w:tmpl w:val="2D6E548E"/>
    <w:lvl w:ilvl="0" w:tplc="457ABE1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4"/>
  </w:num>
  <w:num w:numId="7">
    <w:abstractNumId w:val="13"/>
  </w:num>
  <w:num w:numId="8">
    <w:abstractNumId w:val="10"/>
  </w:num>
  <w:num w:numId="9">
    <w:abstractNumId w:val="3"/>
  </w:num>
  <w:num w:numId="10">
    <w:abstractNumId w:val="16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  <w:num w:numId="15">
    <w:abstractNumId w:val="11"/>
  </w:num>
  <w:num w:numId="16">
    <w:abstractNumId w:val="0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BA"/>
    <w:rsid w:val="00091AF2"/>
    <w:rsid w:val="00134C89"/>
    <w:rsid w:val="0029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0706"/>
  <w15:chartTrackingRefBased/>
  <w15:docId w15:val="{D9F2ADB7-18DE-4CB0-95B7-9B15724D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0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l"/>
    <w:rsid w:val="00290AB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90ABA"/>
    <w:pPr>
      <w:ind w:left="720"/>
      <w:contextualSpacing/>
    </w:pPr>
  </w:style>
  <w:style w:type="character" w:customStyle="1" w:styleId="highlight">
    <w:name w:val="highlight"/>
    <w:rsid w:val="00290ABA"/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290A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290ABA"/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290A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290ABA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90ABA"/>
    <w:rPr>
      <w:rFonts w:ascii="Times New Roman" w:eastAsia="Times New Roman" w:hAnsi="Times New Roman" w:cs="Times New Roman"/>
      <w:sz w:val="1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Rázsiné Kovács Beáta</dc:creator>
  <cp:keywords/>
  <dc:description/>
  <cp:lastModifiedBy>Dávid Mária</cp:lastModifiedBy>
  <cp:revision>2</cp:revision>
  <dcterms:created xsi:type="dcterms:W3CDTF">2018-07-02T14:55:00Z</dcterms:created>
  <dcterms:modified xsi:type="dcterms:W3CDTF">2021-08-24T12:09:00Z</dcterms:modified>
</cp:coreProperties>
</file>