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F2" w:rsidRDefault="00091AF2"/>
    <w:tbl>
      <w:tblPr>
        <w:tblpPr w:leftFromText="141" w:rightFromText="141" w:vertAnchor="text" w:tblpY="1"/>
        <w:tblOverlap w:val="never"/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0"/>
        <w:gridCol w:w="2672"/>
      </w:tblGrid>
      <w:tr w:rsidR="0095521A" w:rsidRPr="004A69F4" w:rsidTr="00C9526B"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5521A" w:rsidRPr="004A69F4" w:rsidRDefault="0095521A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Tantárgy neve: Ismerkedés a gyógypedagógiai intézményekkel gyakorlat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NBP_GP111G2</w:t>
            </w:r>
            <w:bookmarkStart w:id="0" w:name="_GoBack"/>
            <w:bookmarkEnd w:id="0"/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5521A" w:rsidRPr="004A69F4" w:rsidRDefault="0095521A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Kreditértéke: 2</w:t>
            </w:r>
          </w:p>
        </w:tc>
      </w:tr>
      <w:tr w:rsidR="0095521A" w:rsidRPr="004A69F4" w:rsidTr="00C952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5521A" w:rsidRPr="004A69F4" w:rsidRDefault="0095521A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besorolása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kötelező</w:t>
            </w:r>
          </w:p>
        </w:tc>
      </w:tr>
      <w:tr w:rsidR="0095521A" w:rsidRPr="004A69F4" w:rsidTr="00C952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5521A" w:rsidRPr="004A69F4" w:rsidRDefault="0095521A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karaktere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”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100% gyakorlat</w:t>
            </w:r>
          </w:p>
        </w:tc>
      </w:tr>
      <w:tr w:rsidR="0095521A" w:rsidRPr="004A69F4" w:rsidTr="00C952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5521A" w:rsidRPr="004A69F4" w:rsidRDefault="0095521A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tanóra típusa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gyakorlat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és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óraszáma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30 óra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adott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félévben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5521A" w:rsidRPr="004A69F4" w:rsidRDefault="0095521A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adott ismeret átadásában alkalmazandó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további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módok, jellemzők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A gyógypedagógiai intézmények gyakorlati munkájának megismerése közvetlen tapasztalatszerzéssel (hospitálás, megfigyelés technikáival), közvetve videó felvételek, interjúk,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dokumentumok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feldolgozásával.</w:t>
            </w:r>
          </w:p>
        </w:tc>
      </w:tr>
      <w:tr w:rsidR="0095521A" w:rsidRPr="004A69F4" w:rsidTr="00C952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5521A" w:rsidRPr="004A69F4" w:rsidRDefault="0095521A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számonkérés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módja: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  <w:p w:rsidR="0095521A" w:rsidRPr="004A69F4" w:rsidRDefault="0095521A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ismeretellenőrzésben alkalmazandó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további módok: </w:t>
            </w:r>
            <w:r w:rsidRPr="004A69F4">
              <w:rPr>
                <w:rFonts w:eastAsia="Calibri"/>
                <w:bCs/>
                <w:sz w:val="22"/>
                <w:szCs w:val="22"/>
                <w:lang w:eastAsia="en-US"/>
              </w:rPr>
              <w:t>Aktív részvétel a kontaktórákon, a közvetett és a közvetlen tapasztalatszerzési lehetőségekben. A hospitálások során készített jegyzőkönyvek alapján egy-egy intézmény/intézménytípus bemutatásának bekérése.</w:t>
            </w:r>
          </w:p>
        </w:tc>
      </w:tr>
      <w:tr w:rsidR="0095521A" w:rsidRPr="004A69F4" w:rsidTr="00C952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5521A" w:rsidRPr="004A69F4" w:rsidRDefault="0095521A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tantervi helye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1. félév</w:t>
            </w:r>
          </w:p>
        </w:tc>
      </w:tr>
      <w:tr w:rsidR="0095521A" w:rsidRPr="004A69F4" w:rsidTr="00C952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5521A" w:rsidRPr="004A69F4" w:rsidRDefault="0095521A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Előtanulmányi feltételek: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95521A" w:rsidRPr="004A69F4" w:rsidTr="00C952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5521A" w:rsidRPr="004A69F4" w:rsidRDefault="0095521A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Tantárgy-leírás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az elsajátítandó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ismeretanyag tömör, ugyanakkor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informáló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leírása</w:t>
            </w:r>
          </w:p>
        </w:tc>
      </w:tr>
      <w:tr w:rsidR="0095521A" w:rsidRPr="004A69F4" w:rsidTr="00C9526B">
        <w:trPr>
          <w:trHeight w:val="280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5521A" w:rsidRPr="004A69F4" w:rsidRDefault="0095521A" w:rsidP="00C9526B">
            <w:pPr>
              <w:suppressAutoHyphen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A tantárgy célja: </w:t>
            </w:r>
          </w:p>
          <w:p w:rsidR="0095521A" w:rsidRPr="004A69F4" w:rsidRDefault="0095521A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tárgy célja a hallgatókkal megismertetni a gyógypedagógiai intézmények működésének gyakorlatát, valamint szerepét a kliensutak szempontjából sajátélményű tapasztalat szerzésén keresztül. A hallgatók a tárgy keretében ismereteket szereznek az ellátottak köréről, az ellátás személyi, tárgyi feltételeiről, az ellátásban résztvevő társszakmák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team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munkában történő együttműködéséről, az intézményes nevelési színterén felmerülő gyakorlati kérdésekről különböző életkorú és ellátást igénylő személyek esetén.</w:t>
            </w:r>
          </w:p>
          <w:p w:rsidR="0095521A" w:rsidRPr="004A69F4" w:rsidRDefault="0095521A" w:rsidP="00C9526B">
            <w:pPr>
              <w:suppressAutoHyphen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 tantárgy tartalma:</w:t>
            </w:r>
          </w:p>
          <w:p w:rsidR="0095521A" w:rsidRPr="004A69F4" w:rsidRDefault="0095521A" w:rsidP="0095521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601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gyógypedagógiai ellátás rendszere, intézményei és törvényi szabályozása</w:t>
            </w:r>
          </w:p>
          <w:p w:rsidR="0095521A" w:rsidRPr="004A69F4" w:rsidRDefault="0095521A" w:rsidP="0095521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601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korai fejlesztés, korai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intervenció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és intézményrendszere</w:t>
            </w:r>
          </w:p>
          <w:p w:rsidR="0095521A" w:rsidRPr="004A69F4" w:rsidRDefault="0095521A" w:rsidP="0095521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601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fejlesztő nevelés</w:t>
            </w:r>
          </w:p>
          <w:p w:rsidR="0095521A" w:rsidRPr="004A69F4" w:rsidRDefault="0095521A" w:rsidP="0095521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601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pedagógiai szakszolgálatok működése és ellátási rendszere</w:t>
            </w:r>
          </w:p>
          <w:p w:rsidR="0095521A" w:rsidRPr="004A69F4" w:rsidRDefault="0095521A" w:rsidP="0095521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601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Az integrált nevelés</w:t>
            </w:r>
          </w:p>
          <w:p w:rsidR="0095521A" w:rsidRPr="004A69F4" w:rsidRDefault="0095521A" w:rsidP="0095521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601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gyógypedagógiai intézmények az eltérő életkorokban</w:t>
            </w:r>
          </w:p>
          <w:p w:rsidR="0095521A" w:rsidRPr="004A69F4" w:rsidRDefault="0095521A" w:rsidP="0095521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601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Sérülésspecifikus intézményválasztás</w:t>
            </w:r>
          </w:p>
          <w:p w:rsidR="0095521A" w:rsidRPr="004A69F4" w:rsidRDefault="0095521A" w:rsidP="0095521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601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Az egységes gyógypedagógiai módszertani központ működése</w:t>
            </w:r>
          </w:p>
          <w:p w:rsidR="0095521A" w:rsidRPr="004A69F4" w:rsidRDefault="0095521A" w:rsidP="0095521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601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fogyatékos személyek a gyermekvédelmi rendszerben</w:t>
            </w:r>
          </w:p>
          <w:p w:rsidR="0095521A" w:rsidRDefault="0095521A" w:rsidP="0095521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601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fogyatékos személyek a szociális ellátórendszerben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5521A" w:rsidRPr="007A26BD" w:rsidRDefault="0095521A" w:rsidP="0095521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601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Hospitálások a gyógypedagógiai intézményekben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7A26BD">
              <w:rPr>
                <w:rFonts w:eastAsia="Calibri"/>
                <w:sz w:val="22"/>
                <w:szCs w:val="22"/>
                <w:lang w:eastAsia="en-US"/>
              </w:rPr>
              <w:t xml:space="preserve">EGYMI) </w:t>
            </w:r>
          </w:p>
        </w:tc>
      </w:tr>
      <w:tr w:rsidR="0095521A" w:rsidRPr="004A69F4" w:rsidTr="00C952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21A" w:rsidRPr="004A69F4" w:rsidRDefault="0095521A" w:rsidP="00C9526B">
            <w:pPr>
              <w:suppressAutoHyphens/>
              <w:ind w:right="-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2-5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legfontosabb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kötelező,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illetve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ajánlott</w:t>
            </w:r>
            <w:r w:rsidRPr="004A69F4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irodalom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(jegyzet, tankönyv) felsorolása bibliográfiai adatokkal (szerző, cím, kiadás adatai, (esetleg oldalak), ISBN)</w:t>
            </w:r>
          </w:p>
        </w:tc>
      </w:tr>
      <w:tr w:rsidR="0095521A" w:rsidRPr="004A69F4" w:rsidTr="00C9526B"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21A" w:rsidRPr="004A69F4" w:rsidRDefault="0095521A" w:rsidP="00C9526B">
            <w:pPr>
              <w:suppressAutoHyphen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Kötelező irodalom</w:t>
            </w:r>
          </w:p>
          <w:p w:rsidR="0095521A" w:rsidRPr="004A69F4" w:rsidRDefault="0095521A" w:rsidP="0095521A">
            <w:pPr>
              <w:numPr>
                <w:ilvl w:val="0"/>
                <w:numId w:val="4"/>
              </w:numPr>
              <w:suppressAutoHyphens/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Gordosné Szabó Anna (2007): Bevezető általános gyógypedagógiai ismeretek. Nemzeti Tankönyvkiadó, Budapest ISBN 963-19-5351-3</w:t>
            </w:r>
          </w:p>
          <w:p w:rsidR="0095521A" w:rsidRPr="004A69F4" w:rsidRDefault="0095521A" w:rsidP="0095521A">
            <w:pPr>
              <w:numPr>
                <w:ilvl w:val="0"/>
                <w:numId w:val="4"/>
              </w:numPr>
              <w:suppressAutoHyphens/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Illyés Sándor (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.) (2000): Gyógypedagógiai alapismeretek. Eötvös Loránd Tudományegyetem Bárczi Gusztáv Gyógypedagógiai Főiskolai Kar, Budapest ISBN: 9-637-1552-87</w:t>
            </w:r>
          </w:p>
          <w:p w:rsidR="0095521A" w:rsidRPr="004A69F4" w:rsidRDefault="0095521A" w:rsidP="0095521A">
            <w:pPr>
              <w:numPr>
                <w:ilvl w:val="0"/>
                <w:numId w:val="4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Kereki Judit (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.) (2015): Kliensút kalauz.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Educatio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Társadalmi Szolgáltató Nonprofit Kft. Budapest. ISBN 978-963-9795-73-0</w:t>
            </w:r>
          </w:p>
          <w:p w:rsidR="0095521A" w:rsidRPr="00E875A0" w:rsidRDefault="0095521A" w:rsidP="0095521A">
            <w:pPr>
              <w:numPr>
                <w:ilvl w:val="0"/>
                <w:numId w:val="4"/>
              </w:numPr>
              <w:suppressAutoHyphens/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lastRenderedPageBreak/>
              <w:t>Székelyné Kováts Eszter, Szabó Gabriella (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.) (2009): Fogyatékos személyek szociális segítése. Tudástár Tanulói tananyag. Fogyatékos Személyek Esélyegyenlőségéért Közalapítvány. Budapest. ISBN: 978-615-5043-08-6 </w:t>
            </w:r>
            <w:hyperlink r:id="rId5" w:history="1">
              <w:r w:rsidRPr="004A69F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https://fszk.hu/wp-content/uploads/2017/08/Fogyatekos-szemelyek-szocialis-ellatasa.pdf</w:t>
              </w:r>
            </w:hyperlink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5521A" w:rsidRPr="004A69F4" w:rsidRDefault="0095521A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Ajánlott irodalom</w:t>
            </w:r>
          </w:p>
          <w:p w:rsidR="0095521A" w:rsidRPr="004A69F4" w:rsidRDefault="0095521A" w:rsidP="0095521A">
            <w:pPr>
              <w:numPr>
                <w:ilvl w:val="0"/>
                <w:numId w:val="4"/>
              </w:numPr>
              <w:suppressAutoHyphens/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Bernolák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Béláné (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.) (2001): Együtt a többiekkel – egy-másért. Előadásgyűjtemény a mozgáskorlátozott gyermekek integrált neveléséről. Budapest. FÉBÉ</w:t>
            </w:r>
          </w:p>
          <w:p w:rsidR="0095521A" w:rsidRPr="00566211" w:rsidRDefault="0095521A" w:rsidP="0095521A">
            <w:pPr>
              <w:numPr>
                <w:ilvl w:val="0"/>
                <w:numId w:val="4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sz w:val="22"/>
                <w:szCs w:val="22"/>
                <w:lang w:eastAsia="en-US"/>
              </w:rPr>
              <w:t>Kőpatakiné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Mészáros Mária (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é.n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.): Új szakmai igények, új működési forma. Az egységes gyógypedagógiai módszertani intézmények. Országos Oktatási Integrációs Hálózat Utolsó Padból Program </w:t>
            </w:r>
            <w:hyperlink r:id="rId6" w:history="1">
              <w:r w:rsidRPr="004A69F4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http://www.nefmi.gov.hu/letolt/esely/utolso_padbol/KMM_egymi.pdf</w:t>
              </w:r>
            </w:hyperlink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95521A" w:rsidRPr="004A69F4" w:rsidRDefault="0095521A" w:rsidP="0095521A">
            <w:pPr>
              <w:numPr>
                <w:ilvl w:val="0"/>
                <w:numId w:val="4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Rácz Zsuzsanna (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) (2011): Akadály nélkül, Modellprogram az autizmussal élő gyermekek óvodai integrációjának elősegítéséhez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Educatio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Társadalmi Szolgáltató Nonprofit Kft., Bp. </w:t>
            </w:r>
            <w:hyperlink r:id="rId7" w:history="1">
              <w:r w:rsidRPr="004A69F4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http://www.educatio.hu/bin/content/tamop311/download/tamop_311/kiadvanyok/SNI/modellprogram.pdf</w:t>
              </w:r>
            </w:hyperlink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5521A" w:rsidRPr="004A69F4" w:rsidTr="00C952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21A" w:rsidRPr="004A69F4" w:rsidRDefault="0095521A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Azoknak az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előírt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zakmai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kompetenciáknak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, kompetencia-elemeknek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(tudás, képesség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stb.,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KKK </w:t>
            </w:r>
            <w:r w:rsidRPr="004A69F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7.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 pont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) a felsorolása,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amelyek kialakításához a tantárgy jellemzően, érdemben hozzájárul</w:t>
            </w:r>
          </w:p>
        </w:tc>
      </w:tr>
      <w:tr w:rsidR="0095521A" w:rsidRPr="004A69F4" w:rsidTr="00C9526B">
        <w:trPr>
          <w:trHeight w:val="296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5521A" w:rsidRPr="004A69F4" w:rsidRDefault="0095521A" w:rsidP="0095521A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spacing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tudása</w:t>
            </w:r>
          </w:p>
          <w:p w:rsidR="0095521A" w:rsidRPr="004A69F4" w:rsidRDefault="0095521A" w:rsidP="0095521A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line="276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Ismeri a fogyatékossággal élő személyek, csoportok és környezetük megismerésére alkalmas felmérés, diagnosztika területeit,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formális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és informális eljárásait, és a diagnosztikán alapuló gyógypedagógiai tervezés különböző szintjeit, ezek összefüggéseit és szervezeti beágyazottságát. </w:t>
            </w:r>
          </w:p>
          <w:p w:rsidR="0095521A" w:rsidRPr="004A69F4" w:rsidRDefault="0095521A" w:rsidP="0095521A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line="276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Alapvető ismeretei vannak a fogyatékos személyek fejlődési sajátosságainak és tanulási folyamatainak törvényszerűségeiről, jellemzőiről. Tisztában van a fogyatékos személyek (gyógy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)pedagógiájának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nevelési/oktatási/fejlesztési/rehabilitációs céljaival, tartalmaival, a folyamatok összefüggéseivel. </w:t>
            </w:r>
          </w:p>
          <w:p w:rsidR="0095521A" w:rsidRPr="004A69F4" w:rsidRDefault="0095521A" w:rsidP="0095521A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line="276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Tisztában van a fogyatékos emberekkel foglalkozó intézményrendszer és szolgáltatások működési elveivel és gyakorlatával, a szolgáltatásokkal kapcsolatos jogszabályi,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finanszírozási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háttérrel, ismeri továbbá a fogyatékos emberekkel kapcsolatos nemzetközi irányelveket és az alapvető emberi jogokat.</w:t>
            </w:r>
          </w:p>
          <w:p w:rsidR="0095521A" w:rsidRPr="004A69F4" w:rsidRDefault="0095521A" w:rsidP="0095521A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spacing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képességei</w:t>
            </w:r>
          </w:p>
          <w:p w:rsidR="0095521A" w:rsidRPr="004A69F4" w:rsidRDefault="0095521A" w:rsidP="0095521A">
            <w:pPr>
              <w:numPr>
                <w:ilvl w:val="0"/>
                <w:numId w:val="7"/>
              </w:numPr>
              <w:suppressAutoHyphens/>
              <w:spacing w:line="276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Saját szakterületén belül képes értelmezni a fogyatékosságokkal kapcsolatos orvosi diagnózisokat, vizsgálati eredményeket. </w:t>
            </w:r>
          </w:p>
          <w:p w:rsidR="0095521A" w:rsidRPr="004A69F4" w:rsidRDefault="0095521A" w:rsidP="0095521A">
            <w:pPr>
              <w:numPr>
                <w:ilvl w:val="0"/>
                <w:numId w:val="7"/>
              </w:numPr>
              <w:suppressAutoHyphens/>
              <w:spacing w:line="276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Képes a szakmai képzéssel és különösen a saját szakterületével/szakterületeivel kapcsolatos gondolatok, érzések és tények szóban és írásban történő megértésére, kifejezésére és értelmezésére különböző társadalmi, gazdasági és kulturális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kontextusokban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5521A" w:rsidRPr="004A69F4" w:rsidRDefault="0095521A" w:rsidP="0095521A">
            <w:pPr>
              <w:numPr>
                <w:ilvl w:val="0"/>
                <w:numId w:val="7"/>
              </w:numPr>
              <w:suppressAutoHyphens/>
              <w:spacing w:line="276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Képes a fogyatékosságügyi szakmapolitikai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dokumentumok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értelmezésére, az ellátórendszer finanszírozásának átlátására, adott esetben pályázatok írására, valamint a fogyatékos személyek és a szakma érdekeinek képviseletére az intézményrendszerek és szolgáltatások területén.</w:t>
            </w:r>
          </w:p>
          <w:p w:rsidR="0095521A" w:rsidRPr="004A69F4" w:rsidRDefault="0095521A" w:rsidP="0095521A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spacing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attitűdje</w:t>
            </w:r>
          </w:p>
          <w:p w:rsidR="0095521A" w:rsidRPr="004A69F4" w:rsidRDefault="0095521A" w:rsidP="0095521A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spacing w:line="276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Nyitott innovatív gyógypedagógiai elképzelések és megoldások megismerésére, törekszik a bizonyítékalapú módszerek alkalmazására. </w:t>
            </w:r>
          </w:p>
          <w:p w:rsidR="0095521A" w:rsidRPr="004A69F4" w:rsidRDefault="0095521A" w:rsidP="0095521A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spacing w:line="276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Törekszik az ön- és társismeret, önelfogadás,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önreflektivitás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fejlesztésére.</w:t>
            </w:r>
          </w:p>
          <w:p w:rsidR="0095521A" w:rsidRPr="004A69F4" w:rsidRDefault="0095521A" w:rsidP="0095521A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spacing w:line="276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Szakmai, nyelvi készségeit az élethosszig tartó tanulás jegyében karban tartja és fejleszti. </w:t>
            </w:r>
          </w:p>
          <w:p w:rsidR="0095521A" w:rsidRPr="004A69F4" w:rsidRDefault="0095521A" w:rsidP="0095521A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spacing w:line="276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Elkötelezett a fogyatékos személyek fejlődését segítő, pozitívumokra fókuszáló, tanulást, fejlődést támogató értékelés mellett.</w:t>
            </w:r>
          </w:p>
          <w:p w:rsidR="0095521A" w:rsidRPr="004A69F4" w:rsidRDefault="0095521A" w:rsidP="0095521A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spacing w:line="276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A fogyatékos emberekkel kapcsolatos társadalmi és történeti folyamatokat, megközelítéseket összefüggéseiben látja, ezeken keresztül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reflektál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a jelen problémáira, ezekről megalapozott szakmai véleményt formál, és kulturált vitát folytat. </w:t>
            </w:r>
          </w:p>
          <w:p w:rsidR="0095521A" w:rsidRPr="004A69F4" w:rsidRDefault="0095521A" w:rsidP="0095521A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spacing w:line="276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emberi jogi megközelítésből kiindulva tiszteletben tartja és képviseli a fogyatékos emberek és hozzátartozóik jogait és érdekeit. </w:t>
            </w:r>
          </w:p>
          <w:p w:rsidR="0095521A" w:rsidRPr="004A69F4" w:rsidRDefault="0095521A" w:rsidP="0095521A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spacing w:line="276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“Semmit rólunk nélkülünk” elv értelmében támogatja és elősegíti a fogyatékos emberek minél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aktívabb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részvételét, és önrendelkezésük megvalósulását az őket érintő folyamatokban.</w:t>
            </w:r>
          </w:p>
          <w:p w:rsidR="0095521A" w:rsidRPr="004A69F4" w:rsidRDefault="0095521A" w:rsidP="0095521A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spacing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autonómiája és felelőssége </w:t>
            </w:r>
          </w:p>
          <w:p w:rsidR="0095521A" w:rsidRPr="004A69F4" w:rsidRDefault="0095521A" w:rsidP="0095521A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line="276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Felelősséget érez saját gyógypedagógusi öndefiníciójának folyamatos alakításáért, és azért a szűkebb és tágabb közösségért, ahol tevékenységét kifejti.</w:t>
            </w:r>
          </w:p>
          <w:p w:rsidR="0095521A" w:rsidRPr="004A69F4" w:rsidRDefault="0095521A" w:rsidP="0095521A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line="276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Tudatosan képviseli a gyógypedagógia és határtudományai/társtudományai módszertani kultúráját.</w:t>
            </w:r>
          </w:p>
        </w:tc>
      </w:tr>
      <w:tr w:rsidR="0095521A" w:rsidRPr="004A69F4" w:rsidTr="00C9526B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5521A" w:rsidRPr="004A69F4" w:rsidRDefault="0095521A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Tantárgy felelőse: Nagyné dr. </w:t>
            </w:r>
            <w:proofErr w:type="spell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Klujber</w:t>
            </w:r>
            <w:proofErr w:type="spell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Márta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PhD.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egyetemi adjunktus</w:t>
            </w:r>
          </w:p>
        </w:tc>
      </w:tr>
      <w:tr w:rsidR="0095521A" w:rsidRPr="004A69F4" w:rsidTr="00C9526B">
        <w:trPr>
          <w:trHeight w:val="3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5521A" w:rsidRPr="004A69F4" w:rsidRDefault="0095521A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Tantárgy oktatásába bevont oktató: Hegyi Lili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gyógypedagógus,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mesteroktató</w:t>
            </w:r>
          </w:p>
        </w:tc>
      </w:tr>
    </w:tbl>
    <w:p w:rsidR="0095521A" w:rsidRDefault="0095521A"/>
    <w:sectPr w:rsidR="00955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36CC"/>
    <w:multiLevelType w:val="hybridMultilevel"/>
    <w:tmpl w:val="D88628EA"/>
    <w:lvl w:ilvl="0" w:tplc="FC109816">
      <w:start w:val="1"/>
      <w:numFmt w:val="bullet"/>
      <w:lvlText w:val="-"/>
      <w:lvlJc w:val="left"/>
      <w:pPr>
        <w:ind w:left="896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2D9E311F"/>
    <w:multiLevelType w:val="hybridMultilevel"/>
    <w:tmpl w:val="51CC72DA"/>
    <w:lvl w:ilvl="0" w:tplc="FC109816">
      <w:start w:val="1"/>
      <w:numFmt w:val="bullet"/>
      <w:lvlText w:val="-"/>
      <w:lvlJc w:val="left"/>
      <w:pPr>
        <w:ind w:left="896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31D861CA"/>
    <w:multiLevelType w:val="multilevel"/>
    <w:tmpl w:val="19BCC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4073C6B"/>
    <w:multiLevelType w:val="hybridMultilevel"/>
    <w:tmpl w:val="3B98B5D6"/>
    <w:lvl w:ilvl="0" w:tplc="EE3277EE">
      <w:start w:val="4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B0CD5"/>
    <w:multiLevelType w:val="multilevel"/>
    <w:tmpl w:val="19BCC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9410E0B"/>
    <w:multiLevelType w:val="hybridMultilevel"/>
    <w:tmpl w:val="E77885CE"/>
    <w:lvl w:ilvl="0" w:tplc="FC109816">
      <w:start w:val="1"/>
      <w:numFmt w:val="bullet"/>
      <w:lvlText w:val="-"/>
      <w:lvlJc w:val="left"/>
      <w:pPr>
        <w:ind w:left="896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4BA36F74"/>
    <w:multiLevelType w:val="hybridMultilevel"/>
    <w:tmpl w:val="0A1299A4"/>
    <w:lvl w:ilvl="0" w:tplc="FC109816">
      <w:start w:val="1"/>
      <w:numFmt w:val="bullet"/>
      <w:lvlText w:val="-"/>
      <w:lvlJc w:val="left"/>
      <w:pPr>
        <w:ind w:left="896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73CB7B97"/>
    <w:multiLevelType w:val="hybridMultilevel"/>
    <w:tmpl w:val="758C06FC"/>
    <w:lvl w:ilvl="0" w:tplc="EFFC46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2C013C"/>
    <w:multiLevelType w:val="hybridMultilevel"/>
    <w:tmpl w:val="DFDA4F46"/>
    <w:lvl w:ilvl="0" w:tplc="3468D67C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55"/>
    <w:rsid w:val="00091AF2"/>
    <w:rsid w:val="004B3D55"/>
    <w:rsid w:val="0095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95D7"/>
  <w15:chartTrackingRefBased/>
  <w15:docId w15:val="{B66D1C78-A4DC-4951-89B8-95E045B5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4B3D55"/>
    <w:rPr>
      <w:color w:val="0000FF"/>
      <w:u w:val="single"/>
    </w:rPr>
  </w:style>
  <w:style w:type="paragraph" w:customStyle="1" w:styleId="CharChar1CharCharCharChar">
    <w:name w:val="Char Char1 Char Char Char Char"/>
    <w:basedOn w:val="Norml"/>
    <w:rsid w:val="004B3D5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4B3D55"/>
    <w:pPr>
      <w:ind w:left="720"/>
      <w:contextualSpacing/>
    </w:pPr>
  </w:style>
  <w:style w:type="character" w:customStyle="1" w:styleId="highlight">
    <w:name w:val="highlight"/>
    <w:rsid w:val="004B3D55"/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4B3D5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.hu/bin/content/tamop311/download/tamop_311/kiadvanyok/SNI/modellprogra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fmi.gov.hu/letolt/esely/utolso_padbol/KMM_egymi.pdf" TargetMode="External"/><Relationship Id="rId5" Type="http://schemas.openxmlformats.org/officeDocument/2006/relationships/hyperlink" Target="https://fszk.hu/wp-content/uploads/2017/08/Fogyatekos-szemelyek-szocialis-ellatas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Rázsiné Kovács Beáta</dc:creator>
  <cp:keywords/>
  <dc:description/>
  <cp:lastModifiedBy>Dávid Mária</cp:lastModifiedBy>
  <cp:revision>2</cp:revision>
  <dcterms:created xsi:type="dcterms:W3CDTF">2018-07-02T14:39:00Z</dcterms:created>
  <dcterms:modified xsi:type="dcterms:W3CDTF">2021-08-24T12:08:00Z</dcterms:modified>
</cp:coreProperties>
</file>