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Pr="003C51B2" w:rsidRDefault="00A22C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3C51B2" w:rsidTr="005C0792">
        <w:tc>
          <w:tcPr>
            <w:tcW w:w="3227" w:type="dxa"/>
          </w:tcPr>
          <w:p w:rsidR="00872CD5" w:rsidRPr="000A3A4F" w:rsidRDefault="00872CD5" w:rsidP="00FE4E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0A3A4F" w:rsidRDefault="007A0532" w:rsidP="00660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Nemzetközi tanulmányok</w:t>
            </w:r>
          </w:p>
        </w:tc>
      </w:tr>
      <w:tr w:rsidR="0094702B" w:rsidRPr="003C51B2" w:rsidTr="005C0792">
        <w:tc>
          <w:tcPr>
            <w:tcW w:w="3227" w:type="dxa"/>
          </w:tcPr>
          <w:p w:rsidR="00872CD5" w:rsidRPr="000A3A4F" w:rsidRDefault="00CE6ADF" w:rsidP="00FE4E3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s</w:t>
            </w:r>
            <w:r w:rsidR="00872CD5"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zakképzettség </w:t>
            </w: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oklevélben szereplő </w:t>
            </w:r>
            <w:r w:rsidR="00872CD5"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0A3A4F" w:rsidRDefault="0094702B" w:rsidP="006601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Okleveles nemzetközi kapcsolatok elemző</w:t>
            </w:r>
          </w:p>
        </w:tc>
      </w:tr>
      <w:tr w:rsidR="0094702B" w:rsidRPr="003C51B2" w:rsidTr="005C0792">
        <w:tc>
          <w:tcPr>
            <w:tcW w:w="3227" w:type="dxa"/>
          </w:tcPr>
          <w:p w:rsidR="00B906DD" w:rsidRPr="000A3A4F" w:rsidRDefault="00B906DD" w:rsidP="00FE4E3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Képzési forma, munkarend</w:t>
            </w:r>
          </w:p>
        </w:tc>
        <w:tc>
          <w:tcPr>
            <w:tcW w:w="6410" w:type="dxa"/>
          </w:tcPr>
          <w:p w:rsidR="00076A7E" w:rsidRPr="000A3A4F" w:rsidRDefault="00EA3116" w:rsidP="00660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Mesterképzés, nappali és levelező munkarend</w:t>
            </w:r>
            <w:r w:rsidR="00076A7E"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6DD" w:rsidRPr="000A3A4F" w:rsidRDefault="00076A7E" w:rsidP="00B33B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A képzés nyelve </w:t>
            </w:r>
            <w:r w:rsidR="003A0B6B">
              <w:rPr>
                <w:rFonts w:ascii="Times New Roman" w:hAnsi="Times New Roman" w:cs="Times New Roman"/>
                <w:sz w:val="24"/>
                <w:szCs w:val="24"/>
              </w:rPr>
              <w:t>magyar/</w:t>
            </w:r>
            <w:bookmarkStart w:id="0" w:name="_GoBack"/>
            <w:bookmarkEnd w:id="0"/>
            <w:r w:rsidR="00B33BCE" w:rsidRPr="000A3A4F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966" w:rsidRPr="003C51B2" w:rsidTr="003F4C90">
        <w:trPr>
          <w:trHeight w:val="477"/>
        </w:trPr>
        <w:tc>
          <w:tcPr>
            <w:tcW w:w="3227" w:type="dxa"/>
          </w:tcPr>
          <w:p w:rsidR="00872CD5" w:rsidRPr="000A3A4F" w:rsidRDefault="005C0792" w:rsidP="00FE4E3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Választható </w:t>
            </w:r>
            <w:r w:rsidR="00872CD5"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94702B" w:rsidRPr="000A3A4F" w:rsidRDefault="0094702B" w:rsidP="006601AB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Regionális és civilizációs tanulmányok specializáció (Transzatlanti és amerikanisztika tanulmányok)</w:t>
            </w:r>
          </w:p>
          <w:p w:rsidR="0094702B" w:rsidRPr="000A3A4F" w:rsidRDefault="0094702B" w:rsidP="006601AB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Európa-tanulmányok specializáció (Esélyegyenlőség Európában)</w:t>
            </w:r>
          </w:p>
          <w:p w:rsidR="0094702B" w:rsidRPr="000A3A4F" w:rsidRDefault="0094702B" w:rsidP="006601AB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Balkán tanulmányok specializáció</w:t>
            </w:r>
          </w:p>
          <w:p w:rsidR="0094702B" w:rsidRPr="000A3A4F" w:rsidRDefault="0094702B" w:rsidP="006601AB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Tranzitológia</w:t>
            </w:r>
            <w:proofErr w:type="spellEnd"/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specializáció</w:t>
            </w:r>
          </w:p>
          <w:p w:rsidR="0094702B" w:rsidRPr="000A3A4F" w:rsidRDefault="0094702B" w:rsidP="006601AB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Gazdasági diplomácia specializáció</w:t>
            </w:r>
          </w:p>
          <w:p w:rsidR="0094702B" w:rsidRPr="000A3A4F" w:rsidRDefault="0094702B" w:rsidP="006601AB">
            <w:pPr>
              <w:pStyle w:val="Listaszerbekezds"/>
              <w:numPr>
                <w:ilvl w:val="0"/>
                <w:numId w:val="5"/>
              </w:numPr>
              <w:spacing w:line="360" w:lineRule="auto"/>
              <w:ind w:left="6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Sportmenedzsment - sportdiplomácia specializáció</w:t>
            </w:r>
          </w:p>
        </w:tc>
      </w:tr>
      <w:tr w:rsidR="00C95966" w:rsidRPr="003C51B2" w:rsidTr="005C0792">
        <w:tc>
          <w:tcPr>
            <w:tcW w:w="3227" w:type="dxa"/>
          </w:tcPr>
          <w:p w:rsidR="005C0792" w:rsidRPr="000A3A4F" w:rsidRDefault="005C0792" w:rsidP="00FE4E3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0A3A4F" w:rsidRDefault="00A2034F" w:rsidP="006601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Horváth Ágnes</w:t>
            </w:r>
          </w:p>
        </w:tc>
      </w:tr>
      <w:tr w:rsidR="00C95966" w:rsidRPr="003C51B2" w:rsidTr="005C0792">
        <w:tc>
          <w:tcPr>
            <w:tcW w:w="3227" w:type="dxa"/>
          </w:tcPr>
          <w:p w:rsidR="005C0792" w:rsidRPr="000A3A4F" w:rsidRDefault="005C0792" w:rsidP="00FE4E3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0A3A4F" w:rsidRDefault="000D1082" w:rsidP="006601AB">
            <w:pPr>
              <w:pStyle w:val="NormlWeb"/>
              <w:spacing w:before="300" w:beforeAutospacing="0" w:after="300" w:afterAutospacing="0"/>
              <w:ind w:right="150"/>
              <w:jc w:val="both"/>
              <w:rPr>
                <w:color w:val="000000" w:themeColor="text1"/>
              </w:rPr>
            </w:pPr>
            <w:r w:rsidRPr="000A3A4F">
              <w:rPr>
                <w:bCs/>
                <w:color w:val="000000" w:themeColor="text1"/>
                <w:shd w:val="clear" w:color="auto" w:fill="FFFFFF"/>
              </w:rPr>
              <w:t>15/2006. (IV. 3.) OM rendelet</w:t>
            </w:r>
          </w:p>
        </w:tc>
      </w:tr>
      <w:tr w:rsidR="005C0792" w:rsidRPr="003C51B2" w:rsidTr="005C0792">
        <w:tc>
          <w:tcPr>
            <w:tcW w:w="3227" w:type="dxa"/>
          </w:tcPr>
          <w:p w:rsidR="005C0792" w:rsidRPr="000A3A4F" w:rsidRDefault="005C0792" w:rsidP="00FE4E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3A0B6B" w:rsidRPr="003A0B6B" w:rsidRDefault="003A0B6B" w:rsidP="003A0B6B">
            <w:pPr>
              <w:ind w:left="150" w:right="150" w:firstLin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3A0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mesterfokozat megszerzéséhez szükséges két idegen nyelvből államilag elismert, felsőfokú (C1) komplex típusú nyelvvizsga, amelyek közül legalább az egyik a társadalomtudomány, a jogi, a gazdaságtudományok vagy a közigazgatási, katonai és rendészeti képzési területnek megfelelő szaknyelvi (nemzetközi kapcsolatok, diplomáciai, gazdálkodási menedzsment, gazdasági, idegenforgalmi, idegenforgalmi-vendéglátóipari, jogi és közigazgatási, katonai, kereskedelmi, közgazdasági, pénzügyi, üzleti) nyelvvizsga, a másik legalább általános nyelvvizsga, vagy ezekkel egyenértékű érettségi bizonyítvány vagy oklevél,</w:t>
            </w:r>
            <w:proofErr w:type="gramEnd"/>
          </w:p>
          <w:p w:rsidR="003A0B6B" w:rsidRPr="003A0B6B" w:rsidRDefault="003A0B6B" w:rsidP="003A0B6B">
            <w:pPr>
              <w:ind w:left="150" w:right="150" w:firstLin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" w:name="pr14099"/>
            <w:bookmarkEnd w:id="1"/>
            <w:r w:rsidRPr="003A0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vagy</w:t>
            </w:r>
          </w:p>
          <w:p w:rsidR="003A0B6B" w:rsidRPr="003A0B6B" w:rsidRDefault="003A0B6B" w:rsidP="003A0B6B">
            <w:pPr>
              <w:ind w:left="150" w:right="150" w:firstLin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2" w:name="pr14100"/>
            <w:bookmarkEnd w:id="2"/>
            <w:proofErr w:type="gramStart"/>
            <w:r w:rsidRPr="003A0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 idegen nyelvből államilag elismert, felsőfokú (C1) komplex típusú nyelvvizsga és további két idegen nyelvből középfokú (B2) komplex típusú nyelvvizsga, amelyek közül a felsőfokú (C1) komplex típusú, vagy a két középfokú (B2) komplex típusú nyelvvizsga a társadalomtudomány, a jogi, a gazdaságtudományok vagy a közigazgatási, katonai és rendészeti képzési területnek megfelelő szaknyelvi (nemzetközi kapcsolatok, diplomáciai, gazdálkodási menedzsment, gazdasági, idegenforgalmi, idegenforgalmi-vendéglátóipari, jogi és közigazgatási, katonai, kereskedelmi, közgazdasági, pénzügyi, üzleti) nyelvvizsga,</w:t>
            </w:r>
            <w:proofErr w:type="gramEnd"/>
            <w:r w:rsidRPr="003A0B6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másik legalább általános nyelvvizsga, vagy ezekkel egyenértékű érettségi bizonyítvány vagy oklevél.</w:t>
            </w:r>
          </w:p>
          <w:p w:rsidR="005C0792" w:rsidRPr="000A3A4F" w:rsidRDefault="005C0792" w:rsidP="00660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A7" w:rsidRPr="003C51B2" w:rsidTr="005C0792">
        <w:tc>
          <w:tcPr>
            <w:tcW w:w="3227" w:type="dxa"/>
          </w:tcPr>
          <w:p w:rsidR="005C0792" w:rsidRPr="000A3A4F" w:rsidRDefault="005C0792" w:rsidP="00FE4E3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0A3A4F" w:rsidRDefault="00A056A7" w:rsidP="006601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056A7" w:rsidRPr="003C51B2" w:rsidTr="005C0792">
        <w:tc>
          <w:tcPr>
            <w:tcW w:w="3227" w:type="dxa"/>
          </w:tcPr>
          <w:p w:rsidR="00872CD5" w:rsidRPr="000A3A4F" w:rsidRDefault="00872CD5" w:rsidP="00FE4E3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Képzési idő</w:t>
            </w:r>
          </w:p>
        </w:tc>
        <w:tc>
          <w:tcPr>
            <w:tcW w:w="6410" w:type="dxa"/>
          </w:tcPr>
          <w:p w:rsidR="00872CD5" w:rsidRPr="000A3A4F" w:rsidRDefault="00A056A7" w:rsidP="006601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2034F"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félév</w:t>
            </w:r>
          </w:p>
        </w:tc>
      </w:tr>
      <w:tr w:rsidR="00A056A7" w:rsidRPr="003C51B2" w:rsidTr="005C0792">
        <w:tc>
          <w:tcPr>
            <w:tcW w:w="3227" w:type="dxa"/>
          </w:tcPr>
          <w:p w:rsidR="00872CD5" w:rsidRPr="000A3A4F" w:rsidRDefault="00872CD5" w:rsidP="00FE4E3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0A3A4F" w:rsidRDefault="00A056A7" w:rsidP="006601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A056A7" w:rsidRPr="003C51B2" w:rsidTr="005C0792">
        <w:tc>
          <w:tcPr>
            <w:tcW w:w="3227" w:type="dxa"/>
          </w:tcPr>
          <w:p w:rsidR="00872CD5" w:rsidRPr="000A3A4F" w:rsidRDefault="005C0792" w:rsidP="00FE4E3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Ebből k</w:t>
            </w:r>
            <w:r w:rsidR="00872CD5"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B32987" w:rsidRPr="000A3A4F" w:rsidRDefault="00A056A7" w:rsidP="006601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A056A7" w:rsidRPr="003C51B2" w:rsidTr="005C0792">
        <w:tc>
          <w:tcPr>
            <w:tcW w:w="3227" w:type="dxa"/>
          </w:tcPr>
          <w:p w:rsidR="00872CD5" w:rsidRPr="000A3A4F" w:rsidRDefault="005C0792" w:rsidP="00FE4E3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Ebből k</w:t>
            </w:r>
            <w:r w:rsidR="00872CD5"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0A3A4F" w:rsidRDefault="00A056A7" w:rsidP="006601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056A7" w:rsidRPr="003C51B2" w:rsidTr="005C0792">
        <w:tc>
          <w:tcPr>
            <w:tcW w:w="3227" w:type="dxa"/>
          </w:tcPr>
          <w:p w:rsidR="00872CD5" w:rsidRPr="000A3A4F" w:rsidRDefault="005C0792" w:rsidP="00FE4E3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Ebből s</w:t>
            </w:r>
            <w:r w:rsidR="00872CD5"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0A3A4F" w:rsidRDefault="00A056A7" w:rsidP="006601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056A7" w:rsidRPr="003C51B2" w:rsidTr="005C0792">
        <w:tc>
          <w:tcPr>
            <w:tcW w:w="3227" w:type="dxa"/>
          </w:tcPr>
          <w:p w:rsidR="00872CD5" w:rsidRPr="000A3A4F" w:rsidRDefault="00872CD5" w:rsidP="00FE4E3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0A3A4F" w:rsidRDefault="00A056A7" w:rsidP="006601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056A7" w:rsidRPr="003C51B2" w:rsidTr="007B7C66">
        <w:tc>
          <w:tcPr>
            <w:tcW w:w="3227" w:type="dxa"/>
          </w:tcPr>
          <w:p w:rsidR="005C0792" w:rsidRPr="000A3A4F" w:rsidRDefault="005C0792" w:rsidP="00FE4E38">
            <w:pPr>
              <w:spacing w:line="360" w:lineRule="auto"/>
              <w:ind w:left="4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0A3A4F" w:rsidRDefault="00A056A7" w:rsidP="006601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24149" w:rsidRPr="003C51B2" w:rsidTr="003F4C90">
        <w:trPr>
          <w:trHeight w:val="1190"/>
        </w:trPr>
        <w:tc>
          <w:tcPr>
            <w:tcW w:w="3227" w:type="dxa"/>
          </w:tcPr>
          <w:p w:rsidR="00872CD5" w:rsidRPr="000A3A4F" w:rsidRDefault="00872CD5" w:rsidP="00FE4E3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9813BF" w:rsidRPr="000A3A4F" w:rsidRDefault="009813BF" w:rsidP="006601AB">
            <w:pPr>
              <w:pStyle w:val="Listaszerbekezds"/>
              <w:numPr>
                <w:ilvl w:val="0"/>
                <w:numId w:val="1"/>
              </w:numPr>
              <w:spacing w:line="360" w:lineRule="auto"/>
              <w:ind w:left="8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Szakdolgozatvédés</w:t>
            </w:r>
          </w:p>
          <w:p w:rsidR="009813BF" w:rsidRPr="000A3A4F" w:rsidRDefault="009813BF" w:rsidP="006601AB">
            <w:pPr>
              <w:pStyle w:val="Listaszerbekezds"/>
              <w:numPr>
                <w:ilvl w:val="0"/>
                <w:numId w:val="1"/>
              </w:numPr>
              <w:spacing w:line="360" w:lineRule="auto"/>
              <w:ind w:left="8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Szóbeli felelet</w:t>
            </w:r>
          </w:p>
          <w:p w:rsidR="009813BF" w:rsidRPr="000A3A4F" w:rsidRDefault="009813BF" w:rsidP="006601AB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8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Általános kérdés</w:t>
            </w:r>
          </w:p>
          <w:p w:rsidR="009813BF" w:rsidRPr="000A3A4F" w:rsidRDefault="009813BF" w:rsidP="006601AB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8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Ország bemutatás</w:t>
            </w:r>
          </w:p>
          <w:p w:rsidR="00524149" w:rsidRPr="000A3A4F" w:rsidRDefault="00524149" w:rsidP="006601AB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8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Szakirány szerinti kérdések</w:t>
            </w:r>
          </w:p>
        </w:tc>
      </w:tr>
      <w:tr w:rsidR="0008379C" w:rsidRPr="003C51B2" w:rsidTr="005C0792">
        <w:tc>
          <w:tcPr>
            <w:tcW w:w="3227" w:type="dxa"/>
          </w:tcPr>
          <w:p w:rsidR="00872CD5" w:rsidRPr="000A3A4F" w:rsidRDefault="00857DAB" w:rsidP="00FE4E38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0A3A4F" w:rsidRDefault="009813BF" w:rsidP="006601A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hét</w:t>
            </w:r>
          </w:p>
        </w:tc>
      </w:tr>
      <w:tr w:rsidR="00857DAB" w:rsidRPr="003C51B2" w:rsidTr="005C0792">
        <w:tc>
          <w:tcPr>
            <w:tcW w:w="3227" w:type="dxa"/>
          </w:tcPr>
          <w:p w:rsidR="00857DAB" w:rsidRPr="000A3A4F" w:rsidRDefault="00857DAB" w:rsidP="00FE4E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b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6601AB" w:rsidRPr="000A3A4F" w:rsidRDefault="006601AB" w:rsidP="00053B7C">
            <w:pPr>
              <w:pStyle w:val="Listaszerbekezds"/>
              <w:numPr>
                <w:ilvl w:val="0"/>
                <w:numId w:val="8"/>
              </w:numPr>
              <w:tabs>
                <w:tab w:val="left" w:pos="601"/>
              </w:tabs>
              <w:spacing w:line="360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A mesterképzésbe lépés feltétele:</w:t>
            </w:r>
          </w:p>
          <w:p w:rsidR="006601AB" w:rsidRPr="000A3A4F" w:rsidRDefault="006601AB" w:rsidP="006601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Teljes kreditérték beszámításával vehető figyelembe: nemzetközi tanulmányok alapképzési szak, valamint az 1993. LXXX. törvény szerinti egyetemi szint nemzetközi tanulmányok, valamint nemzetközi kapcsolatok alapképzési szak, továbbá főiskolai szintű nemzetközi kapcsolatok alapképzési szak.</w:t>
            </w:r>
          </w:p>
          <w:p w:rsidR="006601AB" w:rsidRPr="000A3A4F" w:rsidRDefault="006601AB" w:rsidP="006601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A bemenethez a meghatározott kreditek teljesítésével elsősorban számításba vehető szakok: kommunikáció és médiatudomány, politológia, szociológia, társadalmi tanulmányok, kulturális antropológia, szociális munka, </w:t>
            </w:r>
            <w:proofErr w:type="spellStart"/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szociálpedagógia</w:t>
            </w:r>
            <w:proofErr w:type="spellEnd"/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, informatikus könyvtáros, alkalmazott közgazdaságtan,</w:t>
            </w:r>
            <w:r w:rsidR="00473B3B"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gazdaságelemzés, közszolgálati,</w:t>
            </w:r>
            <w:r w:rsidR="00473B3B"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gazdálkodás és menedzsment, kereskedelem és marketing, emberi erőforrások, nemzetközi gazdálkodás, pénzügy és számvitel, turizmus-vendéglátás, üzleti szakoktató, igazgatásszervező, nemzetközi igazgatási, </w:t>
            </w:r>
            <w:r w:rsidRPr="000A3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biztonság- és védelempolitikai,határrendészeti és védelmi vezetői, nemzetbiztonsági,</w:t>
            </w:r>
            <w:proofErr w:type="gramEnd"/>
            <w:r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 katonai vezetői, történelem</w:t>
            </w:r>
            <w:proofErr w:type="gramStart"/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,anglisztika</w:t>
            </w:r>
            <w:proofErr w:type="gramEnd"/>
            <w:r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, germanisztika, </w:t>
            </w:r>
            <w:proofErr w:type="spellStart"/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romanisztika</w:t>
            </w:r>
            <w:proofErr w:type="spellEnd"/>
            <w:r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, szlavisztika, </w:t>
            </w:r>
            <w:proofErr w:type="spellStart"/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romológia</w:t>
            </w:r>
            <w:proofErr w:type="spellEnd"/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, keleti nyelvek és kultúrák, szabad bölcsészet alapképzési szakok.</w:t>
            </w:r>
          </w:p>
          <w:p w:rsidR="00473B3B" w:rsidRPr="000A3A4F" w:rsidRDefault="006601AB" w:rsidP="00473B3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A hallgatónak elismerhető legalább 60 kredit a korábbi tanulmányai szerint az alábbi ismeretkörökben (bármely szakon végeztek):</w:t>
            </w:r>
            <w:r w:rsidR="00473B3B"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1AB" w:rsidRPr="000A3A4F" w:rsidRDefault="006601AB" w:rsidP="00473B3B">
            <w:pPr>
              <w:autoSpaceDE w:val="0"/>
              <w:autoSpaceDN w:val="0"/>
              <w:adjustRightInd w:val="0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társadalomtudományi-, jogi-igazgatási-, gazdasági-,</w:t>
            </w:r>
            <w:r w:rsidR="00473B3B"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politikat</w:t>
            </w:r>
            <w:r w:rsidR="00473B3B"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udományi-, történeti-, </w:t>
            </w: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kulturális- és nyelvtudományi ismeretek területein.</w:t>
            </w:r>
          </w:p>
          <w:p w:rsidR="00386FA5" w:rsidRPr="000A3A4F" w:rsidRDefault="00386FA5" w:rsidP="00473B3B">
            <w:pPr>
              <w:autoSpaceDE w:val="0"/>
              <w:autoSpaceDN w:val="0"/>
              <w:adjustRightInd w:val="0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AB" w:rsidRPr="000A3A4F" w:rsidRDefault="006601AB" w:rsidP="0066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A mesterképzésbe való felvétel feltétele, hogy a felsorolt ismeretkörökben legalább 30 kredittel rendelkezzen a hallgató. A hiányzó krediteket a képzéssel párhuzamosan, a felvételtől számított két féléven belül meg kell szerezni.</w:t>
            </w:r>
          </w:p>
          <w:p w:rsidR="00053B7C" w:rsidRPr="000A3A4F" w:rsidRDefault="00053B7C" w:rsidP="0066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7C" w:rsidRPr="000A3A4F" w:rsidRDefault="00053B7C" w:rsidP="006E57CC">
            <w:pPr>
              <w:pStyle w:val="Listaszerbekezds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A kimenet feltétele, </w:t>
            </w:r>
            <w:r w:rsidR="005923D7" w:rsidRPr="000A3A4F">
              <w:rPr>
                <w:rFonts w:ascii="Times New Roman" w:hAnsi="Times New Roman" w:cs="Times New Roman"/>
                <w:sz w:val="24"/>
                <w:szCs w:val="24"/>
              </w:rPr>
              <w:t xml:space="preserve">hogy a hallgató akadémiai programban vegyen részt külföldön (Erasmus vagy egyéb program – pl. </w:t>
            </w:r>
            <w:proofErr w:type="spellStart"/>
            <w:r w:rsidR="005923D7" w:rsidRPr="000A3A4F">
              <w:rPr>
                <w:rFonts w:ascii="Times New Roman" w:hAnsi="Times New Roman" w:cs="Times New Roman"/>
                <w:sz w:val="24"/>
                <w:szCs w:val="24"/>
              </w:rPr>
              <w:t>Fullbright</w:t>
            </w:r>
            <w:proofErr w:type="spellEnd"/>
            <w:r w:rsidR="005923D7" w:rsidRPr="000A3A4F">
              <w:rPr>
                <w:rFonts w:ascii="Times New Roman" w:hAnsi="Times New Roman" w:cs="Times New Roman"/>
                <w:sz w:val="24"/>
                <w:szCs w:val="24"/>
              </w:rPr>
              <w:t>, DAAD, stb. – keretében) minimum 4 héten keresztül, vagy a szakmai gyakorlatát külföldön teljesítse.</w:t>
            </w:r>
          </w:p>
          <w:p w:rsidR="006E57CC" w:rsidRPr="000A3A4F" w:rsidRDefault="006E57CC" w:rsidP="006E57CC">
            <w:pPr>
              <w:pStyle w:val="Listaszerbekezds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CC" w:rsidRPr="000A3A4F" w:rsidRDefault="00E31A62" w:rsidP="006E57CC">
            <w:pPr>
              <w:pStyle w:val="Listaszerbekezds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4F">
              <w:rPr>
                <w:rFonts w:ascii="Times New Roman" w:hAnsi="Times New Roman" w:cs="Times New Roman"/>
                <w:sz w:val="24"/>
                <w:szCs w:val="24"/>
              </w:rPr>
              <w:t>A munka során bizonyos tárgyak idegen nyelven kerülnek meghirdetésre, amelyek kompatibilisek a hallgatók nyelvi tudásával. Ezen tárgyak teljesítése az adott idegen nyelven kötelező.</w:t>
            </w:r>
          </w:p>
        </w:tc>
      </w:tr>
    </w:tbl>
    <w:p w:rsidR="00337A47" w:rsidRPr="003C51B2" w:rsidRDefault="00337A47">
      <w:pPr>
        <w:rPr>
          <w:rFonts w:ascii="Times New Roman" w:hAnsi="Times New Roman" w:cs="Times New Roman"/>
          <w:sz w:val="24"/>
          <w:szCs w:val="24"/>
        </w:rPr>
      </w:pPr>
    </w:p>
    <w:sectPr w:rsidR="00337A47" w:rsidRPr="003C51B2" w:rsidSect="00386FA5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219E"/>
    <w:multiLevelType w:val="hybridMultilevel"/>
    <w:tmpl w:val="12C224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3793"/>
    <w:multiLevelType w:val="hybridMultilevel"/>
    <w:tmpl w:val="A2182490"/>
    <w:lvl w:ilvl="0" w:tplc="A10E3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39F9"/>
    <w:multiLevelType w:val="hybridMultilevel"/>
    <w:tmpl w:val="8C1C83DA"/>
    <w:lvl w:ilvl="0" w:tplc="71C869F0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A539B7"/>
    <w:multiLevelType w:val="hybridMultilevel"/>
    <w:tmpl w:val="59103638"/>
    <w:lvl w:ilvl="0" w:tplc="B8704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1C459B"/>
    <w:multiLevelType w:val="hybridMultilevel"/>
    <w:tmpl w:val="59F8175A"/>
    <w:lvl w:ilvl="0" w:tplc="AFC0E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B28BF"/>
    <w:multiLevelType w:val="hybridMultilevel"/>
    <w:tmpl w:val="FCA04DDE"/>
    <w:lvl w:ilvl="0" w:tplc="9476FF1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F5232C1"/>
    <w:multiLevelType w:val="hybridMultilevel"/>
    <w:tmpl w:val="9BF82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70B4"/>
    <w:multiLevelType w:val="hybridMultilevel"/>
    <w:tmpl w:val="0E66D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42ECA"/>
    <w:rsid w:val="00053B7C"/>
    <w:rsid w:val="00076A7E"/>
    <w:rsid w:val="0008379C"/>
    <w:rsid w:val="000A3A4F"/>
    <w:rsid w:val="000D1082"/>
    <w:rsid w:val="001340A0"/>
    <w:rsid w:val="001A1D61"/>
    <w:rsid w:val="001A775E"/>
    <w:rsid w:val="002B46D1"/>
    <w:rsid w:val="002D564E"/>
    <w:rsid w:val="00321227"/>
    <w:rsid w:val="00337A47"/>
    <w:rsid w:val="00346FA3"/>
    <w:rsid w:val="00376AC2"/>
    <w:rsid w:val="00386FA5"/>
    <w:rsid w:val="003A0B6B"/>
    <w:rsid w:val="003C51B2"/>
    <w:rsid w:val="003F4C90"/>
    <w:rsid w:val="00473B3B"/>
    <w:rsid w:val="004E420D"/>
    <w:rsid w:val="00524149"/>
    <w:rsid w:val="005923D7"/>
    <w:rsid w:val="00595F20"/>
    <w:rsid w:val="005C0792"/>
    <w:rsid w:val="00621304"/>
    <w:rsid w:val="006314C5"/>
    <w:rsid w:val="006601AB"/>
    <w:rsid w:val="006808D7"/>
    <w:rsid w:val="006A15DF"/>
    <w:rsid w:val="006C10E3"/>
    <w:rsid w:val="006E57CC"/>
    <w:rsid w:val="006F6CA0"/>
    <w:rsid w:val="00717211"/>
    <w:rsid w:val="007421CA"/>
    <w:rsid w:val="00773C9A"/>
    <w:rsid w:val="007A0532"/>
    <w:rsid w:val="00857DAB"/>
    <w:rsid w:val="00872CD5"/>
    <w:rsid w:val="0094702B"/>
    <w:rsid w:val="009813BF"/>
    <w:rsid w:val="00986183"/>
    <w:rsid w:val="00A056A7"/>
    <w:rsid w:val="00A2034F"/>
    <w:rsid w:val="00A22CE1"/>
    <w:rsid w:val="00B13E53"/>
    <w:rsid w:val="00B157DF"/>
    <w:rsid w:val="00B32987"/>
    <w:rsid w:val="00B33BCE"/>
    <w:rsid w:val="00B906DD"/>
    <w:rsid w:val="00BA3CFD"/>
    <w:rsid w:val="00C3771A"/>
    <w:rsid w:val="00C95966"/>
    <w:rsid w:val="00CE073B"/>
    <w:rsid w:val="00CE6ADF"/>
    <w:rsid w:val="00D52F3E"/>
    <w:rsid w:val="00DE3021"/>
    <w:rsid w:val="00E06A78"/>
    <w:rsid w:val="00E31A62"/>
    <w:rsid w:val="00EA3116"/>
    <w:rsid w:val="00EB182B"/>
    <w:rsid w:val="00F00D6C"/>
    <w:rsid w:val="00F661E8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314C5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73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73C9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314C5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73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73C9A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2015-09-06T13:12:00Z</dcterms:created>
  <dcterms:modified xsi:type="dcterms:W3CDTF">2015-09-06T13:12:00Z</dcterms:modified>
</cp:coreProperties>
</file>