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960"/>
        <w:gridCol w:w="2960"/>
      </w:tblGrid>
      <w:tr w:rsidR="00C14EE3" w:rsidRPr="00D61C19" w:rsidTr="007F43AB">
        <w:tc>
          <w:tcPr>
            <w:tcW w:w="2960" w:type="dxa"/>
            <w:tcMar>
              <w:top w:w="57" w:type="dxa"/>
              <w:bottom w:w="57" w:type="dxa"/>
            </w:tcMar>
            <w:vAlign w:val="center"/>
          </w:tcPr>
          <w:p w:rsidR="00C14EE3" w:rsidRPr="00D61C19" w:rsidRDefault="00C14EE3" w:rsidP="007F43AB">
            <w:pPr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Tantárgy neve: Műholdakról távérzékelt adatok feldolgozása és értékelése</w:t>
            </w:r>
          </w:p>
        </w:tc>
        <w:tc>
          <w:tcPr>
            <w:tcW w:w="2960" w:type="dxa"/>
            <w:vAlign w:val="center"/>
          </w:tcPr>
          <w:p w:rsidR="00C14EE3" w:rsidRPr="00D61C19" w:rsidRDefault="00C14EE3" w:rsidP="00D61C19">
            <w:pPr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Kód: NMT_G</w:t>
            </w:r>
            <w:r w:rsidR="00D61C19">
              <w:rPr>
                <w:b/>
                <w:bCs/>
                <w:sz w:val="24"/>
                <w:szCs w:val="24"/>
              </w:rPr>
              <w:t>G</w:t>
            </w:r>
            <w:r w:rsidRPr="00D61C19">
              <w:rPr>
                <w:b/>
                <w:bCs/>
                <w:sz w:val="24"/>
                <w:szCs w:val="24"/>
              </w:rPr>
              <w:t>231K2</w:t>
            </w:r>
          </w:p>
        </w:tc>
        <w:tc>
          <w:tcPr>
            <w:tcW w:w="2960" w:type="dxa"/>
            <w:vAlign w:val="center"/>
          </w:tcPr>
          <w:p w:rsidR="00C14EE3" w:rsidRPr="00D61C19" w:rsidRDefault="00C14EE3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D61C19">
            <w:pPr>
              <w:spacing w:before="60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A tanóra </w:t>
            </w:r>
            <w:proofErr w:type="gramStart"/>
            <w:r w:rsidRPr="00D61C19">
              <w:rPr>
                <w:sz w:val="24"/>
                <w:szCs w:val="24"/>
              </w:rPr>
              <w:t>típusa</w:t>
            </w:r>
            <w:r w:rsidRPr="00D61C19">
              <w:rPr>
                <w:rStyle w:val="Lbjegyzet-hivatkozs"/>
                <w:sz w:val="24"/>
                <w:szCs w:val="24"/>
              </w:rPr>
              <w:footnoteReference w:id="1"/>
            </w:r>
            <w:r w:rsidRPr="00D61C19">
              <w:rPr>
                <w:sz w:val="24"/>
                <w:szCs w:val="24"/>
              </w:rPr>
              <w:t>:</w:t>
            </w:r>
            <w:proofErr w:type="gramEnd"/>
            <w:r w:rsidRPr="00D61C19">
              <w:rPr>
                <w:sz w:val="24"/>
                <w:szCs w:val="24"/>
              </w:rPr>
              <w:t xml:space="preserve"> </w:t>
            </w:r>
            <w:r w:rsidRPr="00D61C19">
              <w:rPr>
                <w:b/>
                <w:bCs/>
                <w:sz w:val="24"/>
                <w:szCs w:val="24"/>
              </w:rPr>
              <w:t>előadás</w:t>
            </w:r>
            <w:r w:rsidRPr="00D61C19">
              <w:rPr>
                <w:sz w:val="24"/>
                <w:szCs w:val="24"/>
              </w:rPr>
              <w:t xml:space="preserve"> és száma: </w:t>
            </w:r>
            <w:r w:rsidR="00D61C19"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D61C1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számonkérés módja (</w:t>
            </w:r>
            <w:proofErr w:type="spellStart"/>
            <w:r w:rsidRPr="00D61C19">
              <w:rPr>
                <w:sz w:val="24"/>
                <w:szCs w:val="24"/>
              </w:rPr>
              <w:t>koll</w:t>
            </w:r>
            <w:proofErr w:type="spellEnd"/>
            <w:r w:rsidRPr="00D61C19">
              <w:rPr>
                <w:sz w:val="24"/>
                <w:szCs w:val="24"/>
              </w:rPr>
              <w:t xml:space="preserve">. / </w:t>
            </w:r>
            <w:proofErr w:type="spellStart"/>
            <w:r w:rsidRPr="00D61C19">
              <w:rPr>
                <w:sz w:val="24"/>
                <w:szCs w:val="24"/>
              </w:rPr>
              <w:t>gyj</w:t>
            </w:r>
            <w:proofErr w:type="spellEnd"/>
            <w:r w:rsidRPr="00D61C19">
              <w:rPr>
                <w:sz w:val="24"/>
                <w:szCs w:val="24"/>
              </w:rPr>
              <w:t>. / egyéb</w:t>
            </w:r>
            <w:r w:rsidRPr="00D61C19">
              <w:rPr>
                <w:rStyle w:val="Lbjegyzet-hivatkozs"/>
                <w:sz w:val="24"/>
                <w:szCs w:val="24"/>
              </w:rPr>
              <w:footnoteReference w:id="2"/>
            </w:r>
            <w:r w:rsidRPr="00D61C19">
              <w:rPr>
                <w:sz w:val="24"/>
                <w:szCs w:val="24"/>
              </w:rPr>
              <w:t xml:space="preserve">): </w:t>
            </w:r>
            <w:r w:rsidRPr="00D61C19">
              <w:rPr>
                <w:b/>
                <w:bCs/>
                <w:sz w:val="24"/>
                <w:szCs w:val="24"/>
              </w:rPr>
              <w:t>koll</w:t>
            </w:r>
            <w:r w:rsidR="00D61C19">
              <w:rPr>
                <w:b/>
                <w:bCs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A tantárgy tantervi helye (hányadik félév): </w:t>
            </w:r>
            <w:r w:rsidRPr="00D61C19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Előtanulmányi feltételek </w:t>
            </w:r>
            <w:r w:rsidRPr="00D61C19">
              <w:rPr>
                <w:i/>
                <w:iCs/>
                <w:sz w:val="24"/>
                <w:szCs w:val="24"/>
              </w:rPr>
              <w:t>(ha vannak)</w:t>
            </w:r>
            <w:r w:rsidRPr="00D61C19">
              <w:rPr>
                <w:sz w:val="24"/>
                <w:szCs w:val="24"/>
              </w:rPr>
              <w:t xml:space="preserve">: - </w:t>
            </w:r>
            <w:r w:rsidRPr="00D61C1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14EE3" w:rsidRPr="00D61C19" w:rsidTr="007F43AB">
        <w:tc>
          <w:tcPr>
            <w:tcW w:w="88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Tantárgyleírás</w:t>
            </w:r>
            <w:r w:rsidRPr="00D61C19">
              <w:rPr>
                <w:sz w:val="24"/>
                <w:szCs w:val="24"/>
              </w:rPr>
              <w:t xml:space="preserve">: az elsajátítandó </w:t>
            </w:r>
            <w:r w:rsidRPr="00D61C19">
              <w:rPr>
                <w:sz w:val="24"/>
                <w:szCs w:val="24"/>
                <w:u w:val="single"/>
              </w:rPr>
              <w:t>ismeretanyag</w:t>
            </w:r>
            <w:r w:rsidRPr="00D61C19">
              <w:rPr>
                <w:sz w:val="24"/>
                <w:szCs w:val="24"/>
              </w:rPr>
              <w:t xml:space="preserve"> és a kialakítandó </w:t>
            </w:r>
            <w:r w:rsidRPr="00D61C19">
              <w:rPr>
                <w:sz w:val="24"/>
                <w:szCs w:val="24"/>
                <w:u w:val="single"/>
              </w:rPr>
              <w:t>kompetenciák</w:t>
            </w:r>
            <w:r w:rsidRPr="00D61C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14EE3" w:rsidRPr="00D61C19" w:rsidTr="007F43AB">
        <w:trPr>
          <w:trHeight w:val="318"/>
        </w:trPr>
        <w:tc>
          <w:tcPr>
            <w:tcW w:w="88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D61C19">
              <w:rPr>
                <w:color w:val="000000"/>
                <w:sz w:val="24"/>
                <w:szCs w:val="24"/>
              </w:rPr>
              <w:t xml:space="preserve"> a címben jelzett technikával kapcsolatos releváns ismeretek átadása mindkét későbbi specializáció számára. A kurzus bemutatja a hozzáférhető óriási adattömeg feldolgozásának informatikai támogatását, az ebben segítő-, és a hasznosításhoz szükséges statisztikus, térinformatikai és numerikus módszereket is. A fő hangsúly mégis a felszín, a légkör és az óceánok állapotának és fejlődésének megfigyelése érdekében kidolgozott sokféle alkalmazáson van, ideértve a települések kiterjedésének és beépítettségének detektálását. A bemutatott digitális képanyag alkalmas lesz a természeti és mesterséges tájak tipológiáinak alátámasztására. Az elméleti előadások egy kisebb részét a jelenleg installálás alatt álló, </w:t>
            </w:r>
            <w:proofErr w:type="spellStart"/>
            <w:r w:rsidRPr="00D61C19">
              <w:rPr>
                <w:color w:val="000000"/>
                <w:sz w:val="24"/>
                <w:szCs w:val="24"/>
              </w:rPr>
              <w:t>EuMetCast</w:t>
            </w:r>
            <w:proofErr w:type="spellEnd"/>
            <w:r w:rsidRPr="00D61C19">
              <w:rPr>
                <w:color w:val="000000"/>
                <w:sz w:val="24"/>
                <w:szCs w:val="24"/>
              </w:rPr>
              <w:t xml:space="preserve"> alapú műholdas információ vételére alkalmas műholdvétel helyiségében tervezzük megtartani, hogy ott képek átalakításának, szerkesztésének kérdéseit is be tudjuk mutatni. </w:t>
            </w:r>
          </w:p>
          <w:p w:rsidR="00C14EE3" w:rsidRPr="00D61C19" w:rsidRDefault="00C14EE3" w:rsidP="007F43AB">
            <w:pPr>
              <w:ind w:left="-57" w:right="-57"/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  <w:r w:rsidRPr="00D61C19">
              <w:tab/>
            </w:r>
            <w:r w:rsidRPr="00D61C19">
              <w:tab/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Műholdak a Föld körül. </w:t>
            </w:r>
            <w:proofErr w:type="spellStart"/>
            <w:r w:rsidRPr="00D61C19">
              <w:rPr>
                <w:sz w:val="24"/>
                <w:szCs w:val="24"/>
              </w:rPr>
              <w:t>Kvázipoláris</w:t>
            </w:r>
            <w:proofErr w:type="spellEnd"/>
            <w:r w:rsidRPr="00D61C19">
              <w:rPr>
                <w:sz w:val="24"/>
                <w:szCs w:val="24"/>
              </w:rPr>
              <w:t xml:space="preserve"> (napszinkron) és </w:t>
            </w:r>
            <w:proofErr w:type="spellStart"/>
            <w:r w:rsidRPr="00D61C19">
              <w:rPr>
                <w:sz w:val="24"/>
                <w:szCs w:val="24"/>
              </w:rPr>
              <w:t>geostacionárius</w:t>
            </w:r>
            <w:proofErr w:type="spellEnd"/>
            <w:r w:rsidRPr="00D61C19">
              <w:rPr>
                <w:sz w:val="24"/>
                <w:szCs w:val="24"/>
              </w:rPr>
              <w:t xml:space="preserve"> (</w:t>
            </w:r>
            <w:proofErr w:type="spellStart"/>
            <w:r w:rsidRPr="00D61C19">
              <w:rPr>
                <w:sz w:val="24"/>
                <w:szCs w:val="24"/>
              </w:rPr>
              <w:t>geoszinkron</w:t>
            </w:r>
            <w:proofErr w:type="spellEnd"/>
            <w:r w:rsidRPr="00D61C19">
              <w:rPr>
                <w:sz w:val="24"/>
                <w:szCs w:val="24"/>
              </w:rPr>
              <w:t>) holdak.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A távérzékelés fizikája. Aktív és passzív szondázás. Optikai, mikrohullámú szondázás. </w:t>
            </w:r>
            <w:proofErr w:type="spellStart"/>
            <w:r w:rsidRPr="00D61C19">
              <w:rPr>
                <w:sz w:val="24"/>
                <w:szCs w:val="24"/>
              </w:rPr>
              <w:t>Rádio-okkultáció</w:t>
            </w:r>
            <w:proofErr w:type="spellEnd"/>
            <w:r w:rsidRPr="00D61C19">
              <w:rPr>
                <w:sz w:val="24"/>
                <w:szCs w:val="24"/>
              </w:rPr>
              <w:t xml:space="preserve"> (GPS a távérzékelésben)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jeltovábbítás informatikai eszközei. Az adattárolás és visszakeresés feladatai.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Tanóra a TTK műholdvevő laboratóriumában – a képfeldolgozás kezdeti lépései.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Légköri alkalmazások. Időjárási megfigyelések 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Éghajlati és levegőkémiai megfigyelések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műholdak légkörtani felhasználása más megfigyelések és modellek kapcsolatában.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pacing w:val="-4"/>
                <w:sz w:val="24"/>
                <w:szCs w:val="24"/>
              </w:rPr>
              <w:t>Az élettelen felszín megfigyelése</w:t>
            </w:r>
            <w:r w:rsidRPr="00D61C19">
              <w:rPr>
                <w:sz w:val="24"/>
                <w:szCs w:val="24"/>
              </w:rPr>
              <w:t>: Felszíni és felszín alatti geomorfológia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Felszíni és felszín alatti hidrológia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műholdak felszín-alaktani felhasználása más megfigyelések és modellek kapcsolatában.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Élő természeti alkalmazások . </w:t>
            </w:r>
            <w:proofErr w:type="gramStart"/>
            <w:r w:rsidRPr="00D61C19">
              <w:rPr>
                <w:sz w:val="24"/>
                <w:szCs w:val="24"/>
              </w:rPr>
              <w:t>A</w:t>
            </w:r>
            <w:proofErr w:type="gramEnd"/>
            <w:r w:rsidRPr="00D61C19">
              <w:rPr>
                <w:sz w:val="24"/>
                <w:szCs w:val="24"/>
              </w:rPr>
              <w:t xml:space="preserve"> növénytakaró fejletsége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Állatvilág, kártevők megfigyelése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műholdak biológiai felhasználása más megfigyelések és modellek kapcsolatában.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Tanóra a TTK műholdvevő laboratóriumában – helyben megtekinthető alkalmazások.</w:t>
            </w:r>
          </w:p>
          <w:p w:rsidR="00C14EE3" w:rsidRPr="00D61C19" w:rsidRDefault="00C14EE3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lastRenderedPageBreak/>
              <w:t>A kurzus által megerősített kompetenciák:</w:t>
            </w:r>
          </w:p>
          <w:p w:rsidR="00C14EE3" w:rsidRPr="00D61C19" w:rsidRDefault="00C14EE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 Emberi és környezetének a földrajzi térben megjelenő kölcsönhatásának értelmezése. A műszaki haladás és a környezet megóvásának kölcsönhatásai.</w:t>
            </w:r>
          </w:p>
        </w:tc>
      </w:tr>
      <w:tr w:rsidR="00C14EE3" w:rsidRPr="00D61C19" w:rsidTr="007F43AB">
        <w:tc>
          <w:tcPr>
            <w:tcW w:w="88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14EE3" w:rsidRPr="00D61C19" w:rsidRDefault="00C14EE3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lastRenderedPageBreak/>
              <w:t xml:space="preserve">A </w:t>
            </w:r>
            <w:r w:rsidRPr="00D61C19">
              <w:rPr>
                <w:b/>
                <w:bCs/>
                <w:sz w:val="24"/>
                <w:szCs w:val="24"/>
              </w:rPr>
              <w:t>3-5</w:t>
            </w:r>
            <w:r w:rsidRPr="00D61C19">
              <w:rPr>
                <w:sz w:val="24"/>
                <w:szCs w:val="24"/>
              </w:rPr>
              <w:t xml:space="preserve"> legfontosabb </w:t>
            </w:r>
            <w:r w:rsidRPr="00D61C19">
              <w:rPr>
                <w:i/>
                <w:iCs/>
                <w:sz w:val="24"/>
                <w:szCs w:val="24"/>
              </w:rPr>
              <w:t>kötelező,</w:t>
            </w:r>
            <w:r w:rsidRPr="00D61C19">
              <w:rPr>
                <w:sz w:val="24"/>
                <w:szCs w:val="24"/>
              </w:rPr>
              <w:t xml:space="preserve"> illetve </w:t>
            </w:r>
            <w:r w:rsidRPr="00D61C19">
              <w:rPr>
                <w:i/>
                <w:iCs/>
                <w:sz w:val="24"/>
                <w:szCs w:val="24"/>
              </w:rPr>
              <w:t>ajánlott</w:t>
            </w:r>
            <w:r w:rsidRPr="00D61C1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1C19">
              <w:rPr>
                <w:b/>
                <w:bCs/>
                <w:sz w:val="24"/>
                <w:szCs w:val="24"/>
              </w:rPr>
              <w:t xml:space="preserve">irodalom </w:t>
            </w:r>
            <w:r w:rsidRPr="00D61C19">
              <w:rPr>
                <w:sz w:val="24"/>
                <w:szCs w:val="24"/>
              </w:rPr>
              <w:t>(jegyzet, tankönyv) felsorolása biblio</w:t>
            </w:r>
            <w:r w:rsidRPr="00D61C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4EE3" w:rsidRPr="00D61C19" w:rsidTr="007F43AB">
        <w:tc>
          <w:tcPr>
            <w:tcW w:w="88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14EE3" w:rsidRPr="00D61C19" w:rsidRDefault="00C14EE3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C14EE3" w:rsidRPr="00D61C19" w:rsidRDefault="00C14EE3" w:rsidP="007F43AB">
            <w:pPr>
              <w:ind w:left="805" w:hanging="709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2"/>
                <w:szCs w:val="22"/>
              </w:rPr>
              <w:t>FERENCZ CSABA, (2009): Űrtan. Az űrkutatás és gyakorlati alkalmazásai</w:t>
            </w:r>
            <w:r w:rsidRPr="00D61C19">
              <w:rPr>
                <w:color w:val="000000"/>
                <w:sz w:val="22"/>
                <w:szCs w:val="22"/>
              </w:rPr>
              <w:br/>
            </w:r>
            <w:r w:rsidRPr="00D61C19">
              <w:rPr>
                <w:sz w:val="24"/>
                <w:szCs w:val="24"/>
              </w:rPr>
              <w:t>ELTE Eötvös Kiadó Kft.</w:t>
            </w:r>
            <w:r w:rsidRPr="00D61C19">
              <w:rPr>
                <w:color w:val="000000"/>
                <w:sz w:val="24"/>
                <w:szCs w:val="24"/>
              </w:rPr>
              <w:t xml:space="preserve"> </w:t>
            </w:r>
          </w:p>
          <w:p w:rsidR="00C14EE3" w:rsidRPr="00D61C19" w:rsidRDefault="00C14EE3" w:rsidP="007F43AB">
            <w:pPr>
              <w:ind w:left="805" w:hanging="709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MUCSI LÁSZLÓ (2004): Műholdas távérzékelés. </w:t>
            </w:r>
            <w:proofErr w:type="spellStart"/>
            <w:r w:rsidRPr="00D61C19">
              <w:rPr>
                <w:sz w:val="24"/>
                <w:szCs w:val="24"/>
              </w:rPr>
              <w:t>Libellus</w:t>
            </w:r>
            <w:proofErr w:type="spellEnd"/>
            <w:r w:rsidRPr="00D61C19">
              <w:rPr>
                <w:sz w:val="24"/>
                <w:szCs w:val="24"/>
              </w:rPr>
              <w:t xml:space="preserve">, Szeged, </w:t>
            </w:r>
          </w:p>
          <w:p w:rsidR="00C14EE3" w:rsidRPr="00D61C19" w:rsidRDefault="00C14EE3" w:rsidP="007F43AB">
            <w:pPr>
              <w:ind w:left="805" w:hanging="709"/>
              <w:rPr>
                <w:i/>
                <w:iCs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MIKA JÁNOS – UTASI ZOLTÁN – PÉNZESNÉ KÓNYA ERIKA – BÍRÓ CSABA (2011): </w:t>
            </w:r>
            <w:r w:rsidRPr="00D61C19">
              <w:rPr>
                <w:i/>
                <w:iCs/>
                <w:sz w:val="24"/>
                <w:szCs w:val="24"/>
              </w:rPr>
              <w:t>Műholdakról távérzékelt adatok feldolgozása és értékelése. E-tankönyv</w:t>
            </w:r>
          </w:p>
          <w:p w:rsidR="00C14EE3" w:rsidRPr="00D61C19" w:rsidRDefault="00C14EE3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 xml:space="preserve">FREY SÁNDOR (szerk.), (2008): </w:t>
            </w:r>
            <w:r w:rsidRPr="00D61C19">
              <w:rPr>
                <w:i/>
                <w:iCs/>
                <w:color w:val="000000"/>
                <w:sz w:val="24"/>
                <w:szCs w:val="24"/>
              </w:rPr>
              <w:t>Földközelben a Világűr.</w:t>
            </w:r>
            <w:r w:rsidRPr="00D61C19">
              <w:rPr>
                <w:color w:val="000000"/>
                <w:sz w:val="24"/>
                <w:szCs w:val="24"/>
              </w:rPr>
              <w:t xml:space="preserve"> Természet Világa, 2008. évi I. Különszám. 48 o.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 xml:space="preserve">CSATÓ ÉVA (2000): </w:t>
            </w:r>
            <w:r w:rsidRPr="00D61C19">
              <w:rPr>
                <w:i/>
                <w:iCs/>
                <w:color w:val="000000"/>
                <w:sz w:val="24"/>
                <w:szCs w:val="24"/>
              </w:rPr>
              <w:t>Műholdadatok térképészeti alkalmazása.</w:t>
            </w:r>
            <w:r w:rsidRPr="00D61C19">
              <w:rPr>
                <w:color w:val="000000"/>
                <w:sz w:val="24"/>
                <w:szCs w:val="24"/>
              </w:rPr>
              <w:t xml:space="preserve"> PhD Értekezés 82 o. + 20 ábra + Tézisek, Letölthető: </w:t>
            </w:r>
            <w:hyperlink r:id="rId9" w:history="1">
              <w:r w:rsidRPr="00D61C19">
                <w:rPr>
                  <w:rStyle w:val="Hiperhivatkozs"/>
                  <w:color w:val="000000"/>
                </w:rPr>
                <w:t>http://lazarus.elte.hu/hun/digkonyv/csato/csato.htm</w:t>
              </w:r>
            </w:hyperlink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 xml:space="preserve">LÓKI JÓZSEF (1996): Távérzékelés. Debrecen. KLTE </w:t>
            </w:r>
            <w:r w:rsidRPr="00D61C19">
              <w:rPr>
                <w:color w:val="000000"/>
              </w:rPr>
              <w:t>113 old. (62 ábra és 4 színes képtábla)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>M.D. KING, C.L. PARKINSON, K</w:t>
            </w:r>
            <w:proofErr w:type="gramStart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>.C.</w:t>
            </w:r>
            <w:proofErr w:type="gramEnd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PARTINGTON, R</w:t>
            </w:r>
            <w:proofErr w:type="gramStart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>.G</w:t>
            </w:r>
            <w:proofErr w:type="gramEnd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. WILLIAMS (2007). </w:t>
            </w:r>
            <w:proofErr w:type="spellStart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Our</w:t>
            </w:r>
            <w:proofErr w:type="spellEnd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Changing</w:t>
            </w:r>
            <w:proofErr w:type="spellEnd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Planet</w:t>
            </w:r>
            <w:proofErr w:type="spellEnd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D61C19">
              <w:rPr>
                <w:i/>
                <w:iCs/>
                <w:color w:val="000000"/>
                <w:sz w:val="24"/>
                <w:szCs w:val="24"/>
              </w:rPr>
              <w:t>View</w:t>
            </w:r>
            <w:proofErr w:type="spellEnd"/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19">
              <w:rPr>
                <w:i/>
                <w:iCs/>
                <w:color w:val="000000"/>
                <w:sz w:val="24"/>
                <w:szCs w:val="24"/>
              </w:rPr>
              <w:t>from</w:t>
            </w:r>
            <w:proofErr w:type="spellEnd"/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19">
              <w:rPr>
                <w:i/>
                <w:iCs/>
                <w:color w:val="000000"/>
                <w:sz w:val="24"/>
                <w:szCs w:val="24"/>
              </w:rPr>
              <w:t>Space</w:t>
            </w:r>
            <w:proofErr w:type="spellEnd"/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61C19">
              <w:rPr>
                <w:color w:val="000000"/>
                <w:sz w:val="24"/>
                <w:szCs w:val="24"/>
              </w:rPr>
              <w:t xml:space="preserve">Cambridge </w:t>
            </w:r>
            <w:proofErr w:type="spellStart"/>
            <w:r w:rsidRPr="00D61C19">
              <w:rPr>
                <w:color w:val="000000"/>
                <w:sz w:val="24"/>
                <w:szCs w:val="24"/>
              </w:rPr>
              <w:t>Univ</w:t>
            </w:r>
            <w:proofErr w:type="spellEnd"/>
            <w:r w:rsidRPr="00D61C19">
              <w:rPr>
                <w:color w:val="000000"/>
                <w:sz w:val="24"/>
                <w:szCs w:val="24"/>
              </w:rPr>
              <w:t>. Press 400 o. 588 színes ábra.</w:t>
            </w:r>
            <w:r w:rsidRPr="00D61C19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D61C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http://www.cambridge.org/us/catalogue/catalogue.asp</w:t>
            </w:r>
            <w:proofErr w:type="gramStart"/>
            <w:r w:rsidRPr="00D61C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?isbn</w:t>
            </w:r>
            <w:proofErr w:type="gramEnd"/>
            <w:r w:rsidRPr="00D61C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=9780521828703&amp;ss=res</w:t>
            </w:r>
            <w:r w:rsidRPr="00D61C19">
              <w:rPr>
                <w:rFonts w:ascii="Verdana" w:eastAsia="MS Mincho" w:hAnsi="Verdana" w:cs="Verdana"/>
                <w:color w:val="000000"/>
                <w:sz w:val="19"/>
                <w:szCs w:val="19"/>
                <w:lang w:eastAsia="ja-JP"/>
              </w:rPr>
              <w:t xml:space="preserve"> 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PUTSAY M. – KOCSIS </w:t>
            </w:r>
            <w:proofErr w:type="spellStart"/>
            <w:r w:rsidRPr="00D61C19">
              <w:rPr>
                <w:sz w:val="24"/>
                <w:szCs w:val="24"/>
              </w:rPr>
              <w:t>Zs</w:t>
            </w:r>
            <w:proofErr w:type="spellEnd"/>
            <w:r w:rsidRPr="00D61C19">
              <w:rPr>
                <w:sz w:val="24"/>
                <w:szCs w:val="24"/>
              </w:rPr>
              <w:t>. (szerk.) (2009): Az EUMETSAT által műholdadatokból származtatott légköri és felszíni paraméterek. Országos Meteorológiai Szolgálat, Budapest, 63 o</w:t>
            </w:r>
            <w:r w:rsidRPr="00D61C19">
              <w:rPr>
                <w:color w:val="FF0000"/>
                <w:sz w:val="24"/>
                <w:szCs w:val="24"/>
              </w:rPr>
              <w:t>.</w:t>
            </w:r>
            <w:r w:rsidRPr="00D61C1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4EE3" w:rsidRPr="00D61C19" w:rsidTr="007F43AB">
        <w:trPr>
          <w:trHeight w:val="338"/>
        </w:trPr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D61C19">
              <w:rPr>
                <w:sz w:val="24"/>
                <w:szCs w:val="24"/>
              </w:rPr>
              <w:t>(</w:t>
            </w:r>
            <w:r w:rsidRPr="00D61C19">
              <w:rPr>
                <w:i/>
                <w:iCs/>
                <w:sz w:val="24"/>
                <w:szCs w:val="24"/>
              </w:rPr>
              <w:t>név, beosztás, tud. fokozat</w:t>
            </w:r>
            <w:r w:rsidRPr="00D61C19">
              <w:rPr>
                <w:sz w:val="24"/>
                <w:szCs w:val="24"/>
              </w:rPr>
              <w:t>)</w:t>
            </w:r>
            <w:r w:rsidRPr="00D61C19">
              <w:rPr>
                <w:b/>
                <w:bCs/>
                <w:sz w:val="24"/>
                <w:szCs w:val="24"/>
              </w:rPr>
              <w:t xml:space="preserve">: Prof. Dr. Mika János, egyetemi tanár, </w:t>
            </w:r>
            <w:proofErr w:type="spellStart"/>
            <w:r w:rsidRPr="00D61C19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D61C1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14EE3" w:rsidRPr="002306DD" w:rsidTr="007F43AB">
        <w:trPr>
          <w:trHeight w:val="337"/>
        </w:trPr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2306DD" w:rsidRDefault="00C14E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D61C1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D61C19">
              <w:rPr>
                <w:b/>
                <w:bCs/>
                <w:sz w:val="24"/>
                <w:szCs w:val="24"/>
              </w:rPr>
              <w:t xml:space="preserve">k), </w:t>
            </w:r>
            <w:r w:rsidRPr="00D61C19">
              <w:rPr>
                <w:sz w:val="24"/>
                <w:szCs w:val="24"/>
              </w:rPr>
              <w:t>ha vannak</w:t>
            </w:r>
            <w:r w:rsidRPr="00D61C19">
              <w:rPr>
                <w:b/>
                <w:bCs/>
                <w:sz w:val="24"/>
                <w:szCs w:val="24"/>
              </w:rPr>
              <w:t xml:space="preserve"> </w:t>
            </w:r>
            <w:r w:rsidRPr="00D61C19">
              <w:rPr>
                <w:sz w:val="24"/>
                <w:szCs w:val="24"/>
              </w:rPr>
              <w:t>(</w:t>
            </w:r>
            <w:r w:rsidRPr="00D61C19">
              <w:rPr>
                <w:i/>
                <w:iCs/>
                <w:sz w:val="24"/>
                <w:szCs w:val="24"/>
              </w:rPr>
              <w:t>név, beosztás, tud. fokozat)</w:t>
            </w:r>
          </w:p>
        </w:tc>
      </w:tr>
    </w:tbl>
    <w:p w:rsidR="009F0158" w:rsidRDefault="00EE57C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CA" w:rsidRDefault="00EE57CA" w:rsidP="00F44A28">
      <w:r>
        <w:separator/>
      </w:r>
    </w:p>
  </w:endnote>
  <w:endnote w:type="continuationSeparator" w:id="0">
    <w:p w:rsidR="00EE57CA" w:rsidRDefault="00EE57C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CA" w:rsidRDefault="00EE57CA" w:rsidP="00F44A28">
      <w:r>
        <w:separator/>
      </w:r>
    </w:p>
  </w:footnote>
  <w:footnote w:type="continuationSeparator" w:id="0">
    <w:p w:rsidR="00EE57CA" w:rsidRDefault="00EE57CA" w:rsidP="00F44A28">
      <w:r>
        <w:continuationSeparator/>
      </w:r>
    </w:p>
  </w:footnote>
  <w:footnote w:id="1">
    <w:p w:rsidR="00C14EE3" w:rsidRDefault="00C14EE3" w:rsidP="00C14E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4EE3" w:rsidRDefault="00C14EE3" w:rsidP="00C14E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5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5"/>
  </w:num>
  <w:num w:numId="5">
    <w:abstractNumId w:val="18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4"/>
  </w:num>
  <w:num w:numId="21">
    <w:abstractNumId w:val="16"/>
  </w:num>
  <w:num w:numId="22">
    <w:abstractNumId w:val="5"/>
  </w:num>
  <w:num w:numId="23">
    <w:abstractNumId w:val="27"/>
  </w:num>
  <w:num w:numId="24">
    <w:abstractNumId w:val="22"/>
  </w:num>
  <w:num w:numId="25">
    <w:abstractNumId w:val="26"/>
  </w:num>
  <w:num w:numId="26">
    <w:abstractNumId w:val="11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E57CA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zarus.elte.hu/hun/digkonyv/csato/csato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7659-91BE-4C1C-B057-21A47B34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2012-01-27T20:10:00Z</dcterms:created>
  <dcterms:modified xsi:type="dcterms:W3CDTF">2012-01-27T20:11:00Z</dcterms:modified>
</cp:coreProperties>
</file>