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4A43D3" w:rsidRPr="004A43D3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Tantárgy neve: Fenntarthatóság a helyi tervezésben</w:t>
            </w:r>
          </w:p>
        </w:tc>
        <w:tc>
          <w:tcPr>
            <w:tcW w:w="3019" w:type="dxa"/>
            <w:vAlign w:val="center"/>
          </w:tcPr>
          <w:p w:rsidR="004A43D3" w:rsidRPr="004A43D3" w:rsidRDefault="004A43D3" w:rsidP="004A43D3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Kód: NMT_G</w:t>
            </w:r>
            <w:r>
              <w:rPr>
                <w:b/>
                <w:sz w:val="24"/>
              </w:rPr>
              <w:t>G</w:t>
            </w:r>
            <w:r w:rsidRPr="004A43D3">
              <w:rPr>
                <w:b/>
                <w:sz w:val="24"/>
              </w:rPr>
              <w:t>223K2</w:t>
            </w:r>
          </w:p>
        </w:tc>
        <w:tc>
          <w:tcPr>
            <w:tcW w:w="3020" w:type="dxa"/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Kreditszáma: 2</w:t>
            </w:r>
          </w:p>
        </w:tc>
      </w:tr>
      <w:tr w:rsidR="004A43D3" w:rsidRPr="004A43D3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4A43D3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>A tanóra típusa</w:t>
            </w:r>
            <w:r w:rsidRPr="004A43D3">
              <w:rPr>
                <w:sz w:val="24"/>
                <w:vertAlign w:val="superscript"/>
              </w:rPr>
              <w:footnoteReference w:id="1"/>
            </w:r>
            <w:r w:rsidRPr="004A43D3">
              <w:rPr>
                <w:sz w:val="24"/>
              </w:rPr>
              <w:t xml:space="preserve">: </w:t>
            </w:r>
            <w:proofErr w:type="gramStart"/>
            <w:r w:rsidRPr="004A43D3">
              <w:rPr>
                <w:b/>
                <w:sz w:val="24"/>
              </w:rPr>
              <w:t xml:space="preserve">előadás </w:t>
            </w:r>
            <w:r w:rsidRPr="004A43D3">
              <w:rPr>
                <w:sz w:val="24"/>
              </w:rPr>
              <w:t xml:space="preserve"> és</w:t>
            </w:r>
            <w:proofErr w:type="gramEnd"/>
            <w:r w:rsidRPr="004A43D3">
              <w:rPr>
                <w:sz w:val="24"/>
              </w:rPr>
              <w:t xml:space="preserve"> száma: </w:t>
            </w:r>
            <w:r>
              <w:rPr>
                <w:b/>
                <w:sz w:val="24"/>
              </w:rPr>
              <w:t>heti 2 óra</w:t>
            </w:r>
            <w:r w:rsidRPr="004A43D3">
              <w:rPr>
                <w:b/>
                <w:sz w:val="24"/>
              </w:rPr>
              <w:t xml:space="preserve"> </w:t>
            </w:r>
          </w:p>
        </w:tc>
      </w:tr>
      <w:tr w:rsidR="004A43D3" w:rsidRPr="004A43D3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sz w:val="24"/>
              </w:rPr>
              <w:t>A számonkérés módja (</w:t>
            </w:r>
            <w:proofErr w:type="spellStart"/>
            <w:r w:rsidRPr="004A43D3">
              <w:rPr>
                <w:sz w:val="24"/>
              </w:rPr>
              <w:t>koll</w:t>
            </w:r>
            <w:proofErr w:type="spellEnd"/>
            <w:r w:rsidRPr="004A43D3">
              <w:rPr>
                <w:sz w:val="24"/>
              </w:rPr>
              <w:t xml:space="preserve">. / </w:t>
            </w:r>
            <w:proofErr w:type="spellStart"/>
            <w:r w:rsidRPr="004A43D3">
              <w:rPr>
                <w:sz w:val="24"/>
              </w:rPr>
              <w:t>gyj</w:t>
            </w:r>
            <w:proofErr w:type="spellEnd"/>
            <w:r w:rsidRPr="004A43D3">
              <w:rPr>
                <w:sz w:val="24"/>
              </w:rPr>
              <w:t>. / egyéb</w:t>
            </w:r>
            <w:r w:rsidRPr="004A43D3">
              <w:rPr>
                <w:sz w:val="24"/>
                <w:vertAlign w:val="superscript"/>
              </w:rPr>
              <w:footnoteReference w:id="2"/>
            </w:r>
            <w:r w:rsidRPr="004A43D3">
              <w:rPr>
                <w:sz w:val="24"/>
              </w:rPr>
              <w:t xml:space="preserve">): </w:t>
            </w:r>
            <w:r>
              <w:rPr>
                <w:b/>
                <w:sz w:val="24"/>
              </w:rPr>
              <w:t>kollokvium</w:t>
            </w:r>
            <w:bookmarkStart w:id="0" w:name="_GoBack"/>
            <w:bookmarkEnd w:id="0"/>
            <w:r w:rsidRPr="004A43D3">
              <w:rPr>
                <w:b/>
                <w:sz w:val="24"/>
              </w:rPr>
              <w:t xml:space="preserve"> 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A tantárgy tantervi helye (hányadik félév): </w:t>
            </w:r>
            <w:r w:rsidRPr="004A43D3">
              <w:rPr>
                <w:b/>
                <w:sz w:val="24"/>
              </w:rPr>
              <w:t>3. félév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Előtanulmányi feltételek </w:t>
            </w:r>
            <w:r w:rsidRPr="004A43D3">
              <w:rPr>
                <w:i/>
                <w:sz w:val="24"/>
              </w:rPr>
              <w:t>(ha vannak)</w:t>
            </w:r>
            <w:r w:rsidRPr="004A43D3">
              <w:rPr>
                <w:sz w:val="24"/>
              </w:rPr>
              <w:t>:</w:t>
            </w:r>
            <w:r w:rsidRPr="004A43D3">
              <w:rPr>
                <w:i/>
                <w:sz w:val="24"/>
              </w:rPr>
              <w:t xml:space="preserve"> </w:t>
            </w:r>
            <w:r w:rsidRPr="004A43D3">
              <w:rPr>
                <w:b/>
                <w:sz w:val="24"/>
              </w:rPr>
              <w:t>Fenntartható környezet- és erőforrás-gazdálkodás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Tantárgyleírás</w:t>
            </w:r>
            <w:r w:rsidRPr="004A43D3">
              <w:rPr>
                <w:sz w:val="24"/>
              </w:rPr>
              <w:t xml:space="preserve">: az elsajátítandó </w:t>
            </w:r>
            <w:r w:rsidRPr="004A43D3">
              <w:rPr>
                <w:sz w:val="24"/>
                <w:u w:val="single"/>
              </w:rPr>
              <w:t>ismeretanyag</w:t>
            </w:r>
            <w:r w:rsidRPr="004A43D3">
              <w:rPr>
                <w:sz w:val="24"/>
              </w:rPr>
              <w:t xml:space="preserve"> és a kialakítandó </w:t>
            </w:r>
            <w:r w:rsidRPr="004A43D3">
              <w:rPr>
                <w:sz w:val="24"/>
                <w:u w:val="single"/>
              </w:rPr>
              <w:t>kompetenciák</w:t>
            </w:r>
            <w:r w:rsidRPr="004A43D3">
              <w:rPr>
                <w:sz w:val="24"/>
              </w:rPr>
              <w:t xml:space="preserve"> tömör, ugyanakkor informáló leírása</w:t>
            </w:r>
          </w:p>
        </w:tc>
      </w:tr>
      <w:tr w:rsidR="004A43D3" w:rsidRPr="004A43D3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>Tantárgyleírás</w:t>
            </w:r>
            <w:r w:rsidRPr="004A43D3">
              <w:rPr>
                <w:sz w:val="24"/>
              </w:rPr>
              <w:t xml:space="preserve">: A fenntartható fejlődés lokális szintje a nemzeti és nemzetközi fenntarthatósági stratégiák megvalósítási területe. A tantárgy a fenntartható fejlődés helyi és kisrégiós programjainak (Local Agenda 21 – LA-21) elméletével és gyakorlati példáival foglalkozik. Kiemelten vizsgálja az önkormányzatok, a vállalkozók és a civil társadalom szerepét. A tananyag része a vállalatok és az önkormányzatok helyi társadalomfejlesztésben játszott szerepének értékelése (CSR lokális kérdései).  SWOT elemzés segítségével értékelésre kerül a természeti, társadalmi és gazdasági környezet. A tananyag részét képezi az LA-21 programkészítés lépéseinek bemutatása, majd az LA-21 EU-s tapasztalatainak és magyar gyakorlatának megismertetése. A tananyag sikeres elsajátítása képessé teszi a hallgatókat arra, hogy sikeresen részt vegyenek az LA-21; LEADER; és egyéb térségi és települési fenntarthatósági programok kidolgozásában és megvalósításában. A gyakorlati képzés során a hallgatók elsajátítják a fenntartható térségi és településfejlesztési stratégiák elkészítésének szakmai kívánalmait, valamint részt vesznek a már meglévő fejlesztési tervek fenntarthatósági kiértékelésében is. Önálló munka keretében fenntarthatósági szempontokat alkalmazva sajátítják el egy tetszőlegesen kiválasztott település vagy térség fejlesztési tervének kidolgozását, kiegészítve a Helyi fejlesztési koncepcióalkotás tantárgy ismeretköreit.  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>A kurzus rövid tartalma</w:t>
            </w:r>
            <w:r w:rsidRPr="004A43D3">
              <w:rPr>
                <w:sz w:val="24"/>
              </w:rPr>
              <w:t>: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Local Agenda 21 program tartalma és jelentősége a területfejlesztésben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fenntarthatóság értelmezésének területi szintjei az Agenda 21 program alapján, nemzetközi tapasztalatok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Az EU és a Local Agenda 21, különös tekintettel a közösségi kezdeményezésekre és a vidékfejlesztési tengelyekre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fenntartható fejlődés alapkövei a hazai térségi és települési fejlesztési dokumentumokban, jó és rossz példáinak értékelése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civil szervezetek súlya a fenntartható fejlődésben Magyarországon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NATURA 2000 program a helyi tervezésben, lehetőségek és buktatók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megújuló energiák területi konfliktusainak helyzetértékelése hazánkban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Helyi fejlesztési stratégia és tervalkotás a Local Agenda kívánalmainak megfelelően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 xml:space="preserve">A kurzus elvégzése során </w:t>
            </w:r>
            <w:proofErr w:type="spellStart"/>
            <w:r w:rsidRPr="004A43D3">
              <w:rPr>
                <w:b/>
                <w:sz w:val="24"/>
              </w:rPr>
              <w:t>megszrezhető</w:t>
            </w:r>
            <w:proofErr w:type="spellEnd"/>
            <w:r w:rsidRPr="004A43D3">
              <w:rPr>
                <w:b/>
                <w:sz w:val="24"/>
              </w:rPr>
              <w:t xml:space="preserve"> kompetenciák</w:t>
            </w:r>
            <w:r w:rsidRPr="004A43D3">
              <w:rPr>
                <w:sz w:val="24"/>
              </w:rPr>
              <w:t xml:space="preserve">: A hallgatók képesek lesznek a fenntarthatóságot szem előtt tartó helyi fejlesztési tervek megalkotására a Local Agenda 21 feltételei alapján. Szerzett készségeik lehetővé teszik számukra az adott település vagy térség erőforrásaira épülő helyzetfeltárás és értékelés elkészítését, helyi fejlesztési </w:t>
            </w:r>
            <w:r w:rsidRPr="004A43D3">
              <w:rPr>
                <w:sz w:val="24"/>
              </w:rPr>
              <w:lastRenderedPageBreak/>
              <w:t xml:space="preserve">tervek fenntarthatóságának bírálatát. Továbbá alkalmasak lesznek technikai segítségnyújtásra és tanácsadásra a térségi önkormányzatok, vállalkozások és a civil </w:t>
            </w:r>
            <w:proofErr w:type="gramStart"/>
            <w:r w:rsidRPr="004A43D3">
              <w:rPr>
                <w:sz w:val="24"/>
              </w:rPr>
              <w:t>szféra vonatkozó</w:t>
            </w:r>
            <w:proofErr w:type="gramEnd"/>
            <w:r w:rsidRPr="004A43D3">
              <w:rPr>
                <w:sz w:val="24"/>
              </w:rPr>
              <w:t xml:space="preserve"> kezdeményezéseinek számára.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sz w:val="24"/>
              </w:rPr>
              <w:lastRenderedPageBreak/>
              <w:t xml:space="preserve">A </w:t>
            </w:r>
            <w:r w:rsidRPr="004A43D3">
              <w:rPr>
                <w:b/>
                <w:sz w:val="24"/>
              </w:rPr>
              <w:t>3-5</w:t>
            </w:r>
            <w:r w:rsidRPr="004A43D3">
              <w:rPr>
                <w:sz w:val="24"/>
              </w:rPr>
              <w:t xml:space="preserve"> legfontosabb </w:t>
            </w:r>
            <w:r w:rsidRPr="004A43D3">
              <w:rPr>
                <w:i/>
                <w:sz w:val="24"/>
              </w:rPr>
              <w:t>kötelező,</w:t>
            </w:r>
            <w:r w:rsidRPr="004A43D3">
              <w:rPr>
                <w:sz w:val="24"/>
              </w:rPr>
              <w:t xml:space="preserve"> illetve </w:t>
            </w:r>
            <w:r w:rsidRPr="004A43D3">
              <w:rPr>
                <w:i/>
                <w:sz w:val="24"/>
              </w:rPr>
              <w:t>ajánlott</w:t>
            </w:r>
            <w:r w:rsidRPr="004A43D3">
              <w:rPr>
                <w:b/>
                <w:i/>
                <w:sz w:val="24"/>
              </w:rPr>
              <w:t xml:space="preserve"> </w:t>
            </w:r>
            <w:r w:rsidRPr="004A43D3">
              <w:rPr>
                <w:b/>
                <w:sz w:val="24"/>
              </w:rPr>
              <w:t xml:space="preserve">irodalom </w:t>
            </w:r>
            <w:r w:rsidRPr="004A43D3">
              <w:rPr>
                <w:sz w:val="24"/>
              </w:rPr>
              <w:t>(jegyzet, tankönyv) felsorolása biblio</w:t>
            </w:r>
            <w:r w:rsidRPr="004A43D3">
              <w:rPr>
                <w:sz w:val="24"/>
              </w:rPr>
              <w:softHyphen/>
              <w:t>gráfiai adatokkal (szerző, cím, kiadás adatai, oldalak, ISBN)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Kötelező Irodalom: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J.(2005): </w:t>
            </w:r>
            <w:r w:rsidRPr="004A43D3">
              <w:rPr>
                <w:i/>
                <w:sz w:val="24"/>
              </w:rPr>
              <w:t xml:space="preserve">Fenntartható környezet- és </w:t>
            </w:r>
            <w:proofErr w:type="spellStart"/>
            <w:r w:rsidRPr="004A43D3">
              <w:rPr>
                <w:i/>
                <w:sz w:val="24"/>
              </w:rPr>
              <w:t>erőforrásgazdálkodás</w:t>
            </w:r>
            <w:proofErr w:type="spellEnd"/>
            <w:r w:rsidRPr="004A43D3">
              <w:rPr>
                <w:sz w:val="24"/>
              </w:rPr>
              <w:t xml:space="preserve"> (6. fejezet). KJK-KERSZÖV, Bp., Környezetvédelmi Kiskönyvtár 14. ISBN 963 224 7701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 - TURCHANYI GY. (2002): </w:t>
            </w:r>
            <w:r w:rsidRPr="004A43D3">
              <w:rPr>
                <w:i/>
                <w:sz w:val="24"/>
              </w:rPr>
              <w:t>Útmutató a Fenntartható Fejlődés Helyi Programjai (Local Agenda 21) elkészítéséhez</w:t>
            </w:r>
            <w:proofErr w:type="gramStart"/>
            <w:r w:rsidRPr="004A43D3">
              <w:rPr>
                <w:sz w:val="24"/>
              </w:rPr>
              <w:t>.:</w:t>
            </w:r>
            <w:proofErr w:type="gramEnd"/>
            <w:r w:rsidRPr="004A43D3">
              <w:rPr>
                <w:sz w:val="24"/>
              </w:rPr>
              <w:t xml:space="preserve"> Önkormányzati Tájékoztató (Különszám 200.; a Belügyminisztérium folyóirata. (</w:t>
            </w:r>
            <w:hyperlink r:id="rId9" w:history="1">
              <w:r w:rsidRPr="004A43D3">
                <w:rPr>
                  <w:rStyle w:val="Hiperhivatkozs"/>
                </w:rPr>
                <w:t>www.kornygazd.bme.hu</w:t>
              </w:r>
            </w:hyperlink>
            <w:r w:rsidRPr="004A43D3">
              <w:rPr>
                <w:sz w:val="24"/>
              </w:rPr>
              <w:t xml:space="preserve"> honlapon olvasható).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J.(2007): </w:t>
            </w:r>
            <w:r w:rsidRPr="004A43D3">
              <w:rPr>
                <w:i/>
                <w:sz w:val="24"/>
              </w:rPr>
              <w:t>Versenyképesség – fenntartható régió</w:t>
            </w:r>
            <w:r w:rsidRPr="004A43D3">
              <w:rPr>
                <w:sz w:val="24"/>
              </w:rPr>
              <w:t xml:space="preserve">. </w:t>
            </w:r>
            <w:proofErr w:type="spellStart"/>
            <w:r w:rsidRPr="004A43D3">
              <w:rPr>
                <w:sz w:val="24"/>
              </w:rPr>
              <w:t>Acta</w:t>
            </w:r>
            <w:proofErr w:type="spellEnd"/>
            <w:r w:rsidRPr="004A43D3">
              <w:rPr>
                <w:sz w:val="24"/>
              </w:rPr>
              <w:t xml:space="preserve"> </w:t>
            </w:r>
            <w:proofErr w:type="spellStart"/>
            <w:r w:rsidRPr="004A43D3">
              <w:rPr>
                <w:sz w:val="24"/>
              </w:rPr>
              <w:t>Oeconomica</w:t>
            </w:r>
            <w:proofErr w:type="spellEnd"/>
            <w:r w:rsidRPr="004A43D3">
              <w:rPr>
                <w:sz w:val="24"/>
              </w:rPr>
              <w:t>, Eger, 2007. 7-18. old. ISSN 1787-6559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4A43D3">
              <w:rPr>
                <w:iCs/>
                <w:sz w:val="24"/>
              </w:rPr>
              <w:t>SZÁNTÓ, K. (2003): Fenntartható városias kistérségek, PhD értekezés, SZIE Tájépítészet és Döntéstámogató Rendszerek Doktori Iskola, p.144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4A43D3">
              <w:rPr>
                <w:iCs/>
                <w:sz w:val="24"/>
              </w:rPr>
              <w:t xml:space="preserve">Hajdú, K. – SKUTAI, J. – BARATI, S. – GYULAI, I., - KROLOPP, </w:t>
            </w:r>
            <w:proofErr w:type="gramStart"/>
            <w:r w:rsidRPr="004A43D3">
              <w:rPr>
                <w:iCs/>
                <w:sz w:val="24"/>
              </w:rPr>
              <w:t>A</w:t>
            </w:r>
            <w:proofErr w:type="gramEnd"/>
            <w:r w:rsidRPr="004A43D3">
              <w:rPr>
                <w:iCs/>
                <w:sz w:val="24"/>
              </w:rPr>
              <w:t xml:space="preserve">. – MARTICSEK, J. – SZAKÁL, F. (2002): </w:t>
            </w:r>
            <w:r w:rsidRPr="004A43D3">
              <w:rPr>
                <w:bCs/>
                <w:i/>
                <w:sz w:val="24"/>
              </w:rPr>
              <w:t xml:space="preserve">Integrált regionális fejlesztési tervek, stratégiák elemzése a fenntarthatóság szempontjából, </w:t>
            </w:r>
            <w:r w:rsidRPr="004A43D3">
              <w:rPr>
                <w:bCs/>
                <w:sz w:val="24"/>
              </w:rPr>
              <w:t>Tanulmány, p.84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4A43D3">
              <w:rPr>
                <w:bCs/>
                <w:sz w:val="24"/>
              </w:rPr>
              <w:t xml:space="preserve">(http://www.ceeweb.org/publications/magyar/CEEWEB_integralt_regionalis_tervek.pdf) </w:t>
            </w:r>
          </w:p>
          <w:p w:rsidR="004A43D3" w:rsidRPr="004A43D3" w:rsidRDefault="004A43D3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Ajánlott irodalom: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4A43D3">
              <w:rPr>
                <w:sz w:val="24"/>
              </w:rPr>
              <w:t xml:space="preserve">ZILAHY, GY (2007): </w:t>
            </w:r>
            <w:r w:rsidRPr="004A43D3">
              <w:rPr>
                <w:i/>
                <w:sz w:val="24"/>
              </w:rPr>
              <w:t>Szervezetek közötti együttműködés a fenntartható fejlődés szolgálatában</w:t>
            </w:r>
            <w:r w:rsidRPr="004A43D3">
              <w:rPr>
                <w:sz w:val="24"/>
              </w:rPr>
              <w:t xml:space="preserve"> (</w:t>
            </w:r>
            <w:hyperlink r:id="rId10" w:history="1">
              <w:r w:rsidRPr="004A43D3">
                <w:rPr>
                  <w:rStyle w:val="Hiperhivatkozs"/>
                </w:rPr>
                <w:t>www.ipariokologia.hu/ie_pres/gyula2.pdf</w:t>
              </w:r>
            </w:hyperlink>
            <w:r w:rsidRPr="004A43D3">
              <w:rPr>
                <w:iCs/>
                <w:sz w:val="24"/>
              </w:rPr>
              <w:t>) p. 28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LOW, N. – GLEESON, B. – ELANDER, I. – LIDSKOG, R. (2000): </w:t>
            </w:r>
            <w:proofErr w:type="spellStart"/>
            <w:r w:rsidRPr="004A43D3">
              <w:rPr>
                <w:i/>
                <w:sz w:val="24"/>
              </w:rPr>
              <w:t>Consuming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Cities</w:t>
            </w:r>
            <w:proofErr w:type="spellEnd"/>
            <w:r w:rsidRPr="004A43D3">
              <w:rPr>
                <w:i/>
                <w:sz w:val="24"/>
              </w:rPr>
              <w:t xml:space="preserve"> – The Urban </w:t>
            </w:r>
            <w:proofErr w:type="spellStart"/>
            <w:r w:rsidRPr="004A43D3">
              <w:rPr>
                <w:i/>
                <w:sz w:val="24"/>
              </w:rPr>
              <w:t>Environment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gramStart"/>
            <w:r w:rsidRPr="004A43D3">
              <w:rPr>
                <w:i/>
                <w:sz w:val="24"/>
              </w:rPr>
              <w:t>int</w:t>
            </w:r>
            <w:proofErr w:type="gramEnd"/>
            <w:r w:rsidRPr="004A43D3">
              <w:rPr>
                <w:i/>
                <w:sz w:val="24"/>
              </w:rPr>
              <w:t xml:space="preserve"> he Global </w:t>
            </w:r>
            <w:proofErr w:type="spellStart"/>
            <w:r w:rsidRPr="004A43D3">
              <w:rPr>
                <w:i/>
                <w:sz w:val="24"/>
              </w:rPr>
              <w:t>Economy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after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the</w:t>
            </w:r>
            <w:proofErr w:type="spellEnd"/>
            <w:r w:rsidRPr="004A43D3">
              <w:rPr>
                <w:i/>
                <w:sz w:val="24"/>
              </w:rPr>
              <w:t xml:space="preserve"> Rio </w:t>
            </w:r>
            <w:proofErr w:type="spellStart"/>
            <w:r w:rsidRPr="004A43D3">
              <w:rPr>
                <w:i/>
                <w:sz w:val="24"/>
              </w:rPr>
              <w:t>Declaration</w:t>
            </w:r>
            <w:proofErr w:type="spellEnd"/>
            <w:r w:rsidRPr="004A43D3">
              <w:rPr>
                <w:i/>
                <w:sz w:val="24"/>
              </w:rPr>
              <w:t xml:space="preserve">, </w:t>
            </w:r>
            <w:proofErr w:type="spellStart"/>
            <w:r w:rsidRPr="004A43D3">
              <w:rPr>
                <w:sz w:val="24"/>
              </w:rPr>
              <w:t>Routledge</w:t>
            </w:r>
            <w:proofErr w:type="spellEnd"/>
            <w:r w:rsidRPr="004A43D3">
              <w:rPr>
                <w:sz w:val="24"/>
              </w:rPr>
              <w:t>, p. 323 ISBN 978-0-415-18769-5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BUCKINGHAM, S. -  THEOBALD, K. </w:t>
            </w:r>
            <w:proofErr w:type="spellStart"/>
            <w:r w:rsidRPr="004A43D3">
              <w:rPr>
                <w:sz w:val="24"/>
              </w:rPr>
              <w:t>edt</w:t>
            </w:r>
            <w:proofErr w:type="spellEnd"/>
            <w:r w:rsidRPr="004A43D3">
              <w:rPr>
                <w:sz w:val="24"/>
              </w:rPr>
              <w:t xml:space="preserve">.(2003): </w:t>
            </w:r>
            <w:r w:rsidRPr="004A43D3">
              <w:rPr>
                <w:i/>
                <w:sz w:val="24"/>
              </w:rPr>
              <w:t xml:space="preserve">Local </w:t>
            </w:r>
            <w:proofErr w:type="spellStart"/>
            <w:r w:rsidRPr="004A43D3">
              <w:rPr>
                <w:i/>
                <w:sz w:val="24"/>
              </w:rPr>
              <w:t>environmental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sustainability</w:t>
            </w:r>
            <w:proofErr w:type="spellEnd"/>
            <w:r w:rsidRPr="004A43D3">
              <w:rPr>
                <w:sz w:val="24"/>
              </w:rPr>
              <w:t xml:space="preserve">, </w:t>
            </w:r>
            <w:proofErr w:type="spellStart"/>
            <w:r w:rsidRPr="004A43D3">
              <w:rPr>
                <w:sz w:val="24"/>
              </w:rPr>
              <w:t>Woodhead</w:t>
            </w:r>
            <w:proofErr w:type="spellEnd"/>
            <w:r w:rsidRPr="004A43D3">
              <w:rPr>
                <w:sz w:val="24"/>
              </w:rPr>
              <w:t xml:space="preserve"> Publishing Limited p.254 ISBN 1855736853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FRIEDEL, R. – SPINDLER </w:t>
            </w:r>
            <w:proofErr w:type="gramStart"/>
            <w:r w:rsidRPr="004A43D3">
              <w:rPr>
                <w:sz w:val="24"/>
              </w:rPr>
              <w:t>A</w:t>
            </w:r>
            <w:proofErr w:type="gramEnd"/>
            <w:r w:rsidRPr="004A43D3">
              <w:rPr>
                <w:sz w:val="24"/>
              </w:rPr>
              <w:t xml:space="preserve">. E.(2009): </w:t>
            </w:r>
            <w:proofErr w:type="spellStart"/>
            <w:r w:rsidRPr="004A43D3">
              <w:rPr>
                <w:i/>
                <w:sz w:val="24"/>
              </w:rPr>
              <w:t>Nachhaltige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Entwicklung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ländlicher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Räume</w:t>
            </w:r>
            <w:proofErr w:type="spellEnd"/>
            <w:r w:rsidRPr="004A43D3">
              <w:rPr>
                <w:i/>
                <w:sz w:val="24"/>
              </w:rPr>
              <w:t xml:space="preserve"> – </w:t>
            </w:r>
            <w:proofErr w:type="spellStart"/>
            <w:r w:rsidRPr="004A43D3">
              <w:rPr>
                <w:i/>
                <w:sz w:val="24"/>
              </w:rPr>
              <w:t>Chancenverbesserung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durch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Innovation</w:t>
            </w:r>
            <w:proofErr w:type="spellEnd"/>
            <w:r w:rsidRPr="004A43D3">
              <w:rPr>
                <w:i/>
                <w:sz w:val="24"/>
              </w:rPr>
              <w:t xml:space="preserve"> und </w:t>
            </w:r>
            <w:proofErr w:type="spellStart"/>
            <w:r w:rsidRPr="004A43D3">
              <w:rPr>
                <w:i/>
                <w:sz w:val="24"/>
              </w:rPr>
              <w:t>Traditionspflege</w:t>
            </w:r>
            <w:proofErr w:type="spellEnd"/>
            <w:r w:rsidRPr="004A43D3">
              <w:rPr>
                <w:sz w:val="24"/>
              </w:rPr>
              <w:t>, VS Research, p. 510 ISBN 978 3 531 16542 4</w:t>
            </w:r>
          </w:p>
        </w:tc>
      </w:tr>
      <w:tr w:rsidR="004A43D3" w:rsidRPr="004A43D3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 xml:space="preserve">Tantárgy felelőse </w:t>
            </w:r>
            <w:r w:rsidRPr="004A43D3">
              <w:rPr>
                <w:sz w:val="24"/>
              </w:rPr>
              <w:t>(</w:t>
            </w:r>
            <w:r w:rsidRPr="004A43D3">
              <w:rPr>
                <w:i/>
                <w:sz w:val="24"/>
              </w:rPr>
              <w:t>név, beosztás, tud. fokozat</w:t>
            </w:r>
            <w:r w:rsidRPr="004A43D3">
              <w:rPr>
                <w:sz w:val="24"/>
              </w:rPr>
              <w:t>)</w:t>
            </w:r>
            <w:r w:rsidRPr="004A43D3">
              <w:rPr>
                <w:b/>
                <w:sz w:val="24"/>
              </w:rPr>
              <w:t xml:space="preserve">: 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ab/>
              <w:t>Prof. Dr. Szlávik János, MTA doktora, egyetemi tanár</w:t>
            </w:r>
          </w:p>
        </w:tc>
      </w:tr>
      <w:tr w:rsidR="004A43D3" w:rsidRPr="00F16CAE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 xml:space="preserve">Tantárgy oktatásába bevont </w:t>
            </w:r>
            <w:proofErr w:type="gramStart"/>
            <w:r w:rsidRPr="004A43D3">
              <w:rPr>
                <w:b/>
                <w:sz w:val="24"/>
              </w:rPr>
              <w:t>oktató(</w:t>
            </w:r>
            <w:proofErr w:type="gramEnd"/>
            <w:r w:rsidRPr="004A43D3">
              <w:rPr>
                <w:b/>
                <w:sz w:val="24"/>
              </w:rPr>
              <w:t xml:space="preserve">k), </w:t>
            </w:r>
            <w:r w:rsidRPr="004A43D3">
              <w:rPr>
                <w:sz w:val="24"/>
              </w:rPr>
              <w:t>ha vannak</w:t>
            </w:r>
            <w:r w:rsidRPr="004A43D3">
              <w:rPr>
                <w:b/>
                <w:sz w:val="24"/>
              </w:rPr>
              <w:t xml:space="preserve"> </w:t>
            </w:r>
            <w:r w:rsidRPr="004A43D3">
              <w:rPr>
                <w:sz w:val="24"/>
              </w:rPr>
              <w:t>(</w:t>
            </w:r>
            <w:r w:rsidRPr="004A43D3">
              <w:rPr>
                <w:i/>
                <w:sz w:val="24"/>
              </w:rPr>
              <w:t>név, beosztás, tud. fokozat</w:t>
            </w:r>
            <w:r w:rsidRPr="004A43D3">
              <w:rPr>
                <w:sz w:val="24"/>
              </w:rPr>
              <w:t>)</w:t>
            </w:r>
            <w:r w:rsidRPr="004A43D3">
              <w:rPr>
                <w:b/>
                <w:sz w:val="24"/>
              </w:rPr>
              <w:t xml:space="preserve">: </w:t>
            </w:r>
          </w:p>
          <w:p w:rsidR="004A43D3" w:rsidRPr="00F16CAE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ab/>
              <w:t xml:space="preserve">Dr. </w:t>
            </w:r>
            <w:proofErr w:type="spellStart"/>
            <w:r w:rsidRPr="004A43D3">
              <w:rPr>
                <w:b/>
                <w:sz w:val="24"/>
              </w:rPr>
              <w:t>Csáfor</w:t>
            </w:r>
            <w:proofErr w:type="spellEnd"/>
            <w:r w:rsidRPr="004A43D3">
              <w:rPr>
                <w:b/>
                <w:sz w:val="24"/>
              </w:rPr>
              <w:t xml:space="preserve"> Hajnalka főiskolai docens, PhD</w:t>
            </w:r>
          </w:p>
        </w:tc>
      </w:tr>
    </w:tbl>
    <w:p w:rsidR="009F0158" w:rsidRDefault="001712F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F1" w:rsidRDefault="001712F1" w:rsidP="00F44A28">
      <w:r>
        <w:separator/>
      </w:r>
    </w:p>
  </w:endnote>
  <w:endnote w:type="continuationSeparator" w:id="0">
    <w:p w:rsidR="001712F1" w:rsidRDefault="001712F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F1" w:rsidRDefault="001712F1" w:rsidP="00F44A28">
      <w:r>
        <w:separator/>
      </w:r>
    </w:p>
  </w:footnote>
  <w:footnote w:type="continuationSeparator" w:id="0">
    <w:p w:rsidR="001712F1" w:rsidRDefault="001712F1" w:rsidP="00F44A28">
      <w:r>
        <w:continuationSeparator/>
      </w:r>
    </w:p>
  </w:footnote>
  <w:footnote w:id="1">
    <w:p w:rsidR="004A43D3" w:rsidRDefault="004A43D3" w:rsidP="004A43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3D3" w:rsidRDefault="004A43D3" w:rsidP="004A43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7"/>
  </w:num>
  <w:num w:numId="5">
    <w:abstractNumId w:val="19"/>
  </w:num>
  <w:num w:numId="6">
    <w:abstractNumId w:val="23"/>
  </w:num>
  <w:num w:numId="7">
    <w:abstractNumId w:val="18"/>
  </w:num>
  <w:num w:numId="8">
    <w:abstractNumId w:val="22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26"/>
  </w:num>
  <w:num w:numId="21">
    <w:abstractNumId w:val="17"/>
  </w:num>
  <w:num w:numId="22">
    <w:abstractNumId w:val="5"/>
  </w:num>
  <w:num w:numId="23">
    <w:abstractNumId w:val="29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712F1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ariokologia.hu/ie_pres/gyula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nygazd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440D-A4A7-4470-BF4F-8734414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2012-01-27T20:23:00Z</dcterms:created>
  <dcterms:modified xsi:type="dcterms:W3CDTF">2012-01-27T20:24:00Z</dcterms:modified>
</cp:coreProperties>
</file>