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2245"/>
      </w:tblGrid>
      <w:tr w:rsidR="00527092" w:rsidRPr="00F459FA" w:rsidTr="00A94AE0">
        <w:tc>
          <w:tcPr>
            <w:tcW w:w="7122" w:type="dxa"/>
            <w:tcMar>
              <w:top w:w="57" w:type="dxa"/>
              <w:bottom w:w="57" w:type="dxa"/>
            </w:tcMar>
          </w:tcPr>
          <w:p w:rsidR="00527092" w:rsidRPr="00F459FA" w:rsidRDefault="00527092" w:rsidP="00A94AE0">
            <w:pPr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 xml:space="preserve">Tantárgy neve: </w:t>
            </w:r>
            <w:r>
              <w:rPr>
                <w:b/>
                <w:bCs/>
                <w:sz w:val="22"/>
                <w:szCs w:val="22"/>
              </w:rPr>
              <w:t>Filmelemzés I. (</w:t>
            </w:r>
            <w:r w:rsidRPr="00AA7D8D">
              <w:rPr>
                <w:b/>
                <w:bCs/>
                <w:sz w:val="22"/>
                <w:szCs w:val="22"/>
              </w:rPr>
              <w:t>Filmalkotó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A7D8D">
              <w:rPr>
                <w:b/>
                <w:bCs/>
                <w:sz w:val="22"/>
                <w:szCs w:val="22"/>
              </w:rPr>
              <w:t>portrék</w:t>
            </w:r>
            <w:r>
              <w:rPr>
                <w:b/>
                <w:bCs/>
                <w:sz w:val="22"/>
                <w:szCs w:val="22"/>
              </w:rPr>
              <w:t>) / NMP_MK108G2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527092" w:rsidRPr="00F459FA" w:rsidRDefault="00527092" w:rsidP="00A94AE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 xml:space="preserve">Kreditszáma: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27092" w:rsidRPr="00F459FA" w:rsidTr="00A94AE0"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527092" w:rsidRPr="00F459FA" w:rsidRDefault="00527092" w:rsidP="00A94AE0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típusa </w:t>
            </w:r>
            <w:r w:rsidRPr="00E42422">
              <w:rPr>
                <w:b/>
                <w:sz w:val="22"/>
                <w:szCs w:val="22"/>
              </w:rPr>
              <w:t>szeminárium</w:t>
            </w:r>
            <w:r>
              <w:rPr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és száma</w:t>
            </w:r>
            <w:r>
              <w:rPr>
                <w:sz w:val="24"/>
                <w:szCs w:val="24"/>
              </w:rPr>
              <w:t>:</w:t>
            </w:r>
            <w:r w:rsidRPr="00E42422">
              <w:rPr>
                <w:b/>
                <w:sz w:val="22"/>
                <w:szCs w:val="22"/>
              </w:rPr>
              <w:t>2</w:t>
            </w:r>
            <w:r w:rsidRPr="00E42422">
              <w:rPr>
                <w:b/>
                <w:bCs/>
                <w:sz w:val="22"/>
                <w:szCs w:val="22"/>
              </w:rPr>
              <w:t>/30</w:t>
            </w:r>
          </w:p>
        </w:tc>
      </w:tr>
      <w:tr w:rsidR="00527092" w:rsidRPr="00F459FA" w:rsidTr="00A94AE0"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527092" w:rsidRPr="00F459FA" w:rsidRDefault="00527092" w:rsidP="00A94AE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27092" w:rsidRPr="00F459FA" w:rsidTr="00A94AE0"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527092" w:rsidRPr="00F459FA" w:rsidRDefault="00527092" w:rsidP="00A94AE0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D53FD8">
              <w:rPr>
                <w:b/>
                <w:sz w:val="22"/>
                <w:szCs w:val="22"/>
              </w:rPr>
              <w:t>1</w:t>
            </w:r>
          </w:p>
        </w:tc>
      </w:tr>
      <w:tr w:rsidR="00527092" w:rsidRPr="00F459FA" w:rsidTr="00A94AE0"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527092" w:rsidRPr="00F459FA" w:rsidRDefault="00527092" w:rsidP="00A94AE0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iCs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27092" w:rsidRPr="00F459FA" w:rsidTr="00A94AE0">
        <w:tc>
          <w:tcPr>
            <w:tcW w:w="939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27092" w:rsidRPr="00F459FA" w:rsidRDefault="00527092" w:rsidP="00A94AE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27092" w:rsidRPr="00F459FA" w:rsidTr="00A94AE0">
        <w:trPr>
          <w:trHeight w:val="318"/>
        </w:trPr>
        <w:tc>
          <w:tcPr>
            <w:tcW w:w="9390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27092" w:rsidRPr="00AA7D8D" w:rsidRDefault="00527092" w:rsidP="00A94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feldolgozott alkotók </w:t>
            </w:r>
            <w:r w:rsidRPr="00AA7D8D">
              <w:rPr>
                <w:sz w:val="22"/>
                <w:szCs w:val="22"/>
              </w:rPr>
              <w:t>munkásságá</w:t>
            </w:r>
            <w:r>
              <w:rPr>
                <w:sz w:val="22"/>
                <w:szCs w:val="22"/>
              </w:rPr>
              <w:t>nak ismerete. Az</w:t>
            </w:r>
            <w:r w:rsidRPr="00AA7D8D">
              <w:rPr>
                <w:sz w:val="22"/>
                <w:szCs w:val="22"/>
              </w:rPr>
              <w:t xml:space="preserve"> adott alkotó munkásságát feldolgozó szakirodal</w:t>
            </w:r>
            <w:r>
              <w:rPr>
                <w:sz w:val="22"/>
                <w:szCs w:val="22"/>
              </w:rPr>
              <w:t xml:space="preserve">om ismerete. </w:t>
            </w:r>
            <w:r w:rsidRPr="00AA7D8D">
              <w:rPr>
                <w:sz w:val="22"/>
                <w:szCs w:val="22"/>
              </w:rPr>
              <w:t>Rendelkezzen ismeretekkel az adott alkotó korából (művelődéstörténet, filmtörténet, társad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lomtörténet).</w:t>
            </w:r>
            <w:r>
              <w:rPr>
                <w:sz w:val="22"/>
                <w:szCs w:val="22"/>
              </w:rPr>
              <w:t xml:space="preserve"> A hallgatótól elvárható kompetenciák és képességek: </w:t>
            </w:r>
            <w:r w:rsidRPr="00AA7D8D">
              <w:rPr>
                <w:sz w:val="22"/>
                <w:szCs w:val="22"/>
              </w:rPr>
              <w:t>Az adott alkotó munkásságát elemeiben és egészében vizsgálja.</w:t>
            </w:r>
            <w:r>
              <w:rPr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 xml:space="preserve">Teremtsen összefüggést az </w:t>
            </w:r>
            <w:r>
              <w:rPr>
                <w:sz w:val="22"/>
                <w:szCs w:val="22"/>
              </w:rPr>
              <w:t xml:space="preserve">adott </w:t>
            </w:r>
            <w:r w:rsidRPr="00AA7D8D">
              <w:rPr>
                <w:sz w:val="22"/>
                <w:szCs w:val="22"/>
              </w:rPr>
              <w:t>életművel, illetve az egyes alkotásokkal vitatkozó alkot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sok között.</w:t>
            </w:r>
            <w:r>
              <w:rPr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>Legyen képes elhelyezni az adott alkotót a művelődéstörténeti folyamatban.</w:t>
            </w:r>
            <w:r>
              <w:rPr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>Legyen képes értékelni az adott alkotó tevékenységét a nemzeti filmgyártás keretei között és a nemzetközi m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zőnyben.</w:t>
            </w:r>
            <w:r>
              <w:rPr>
                <w:sz w:val="22"/>
                <w:szCs w:val="22"/>
              </w:rPr>
              <w:t xml:space="preserve"> </w:t>
            </w:r>
            <w:r w:rsidRPr="00AA7D8D">
              <w:rPr>
                <w:sz w:val="22"/>
                <w:szCs w:val="22"/>
              </w:rPr>
              <w:t>Értelmezze a filmes szövegeket a vonatkozó ismeretei birtokában.</w:t>
            </w:r>
          </w:p>
          <w:p w:rsidR="00527092" w:rsidRPr="00AA7D8D" w:rsidRDefault="00527092" w:rsidP="00A94AE0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szeminárium célja a </w:t>
            </w:r>
            <w:r w:rsidRPr="00AA7D8D">
              <w:rPr>
                <w:sz w:val="22"/>
                <w:szCs w:val="22"/>
              </w:rPr>
              <w:t>hallgatók filmes szövegismeretének bővítése, a filmes szövegelemző készség fejlesztése, művelődéstört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neti ismeretbővítés.</w:t>
            </w:r>
          </w:p>
          <w:p w:rsidR="00527092" w:rsidRPr="00AA7D8D" w:rsidRDefault="00527092" w:rsidP="00A94AE0">
            <w:pPr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bCs/>
                <w:sz w:val="22"/>
                <w:szCs w:val="22"/>
              </w:rPr>
              <w:t>Tartalom</w:t>
            </w:r>
          </w:p>
          <w:p w:rsidR="00527092" w:rsidRPr="00AA7D8D" w:rsidRDefault="00527092" w:rsidP="00A94AE0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Filmalkotók munkásságának monografikus feldolgozása: rendezők, operatőrök, színészek, forgatóköny</w:t>
            </w:r>
            <w:r w:rsidRPr="00AA7D8D">
              <w:rPr>
                <w:sz w:val="22"/>
                <w:szCs w:val="22"/>
              </w:rPr>
              <w:t>v</w:t>
            </w:r>
            <w:r w:rsidRPr="00AA7D8D">
              <w:rPr>
                <w:sz w:val="22"/>
                <w:szCs w:val="22"/>
              </w:rPr>
              <w:t>írók, vágók, díszlettervezők, zeneszerzők.</w:t>
            </w:r>
          </w:p>
          <w:p w:rsidR="00527092" w:rsidRPr="00AA7D8D" w:rsidRDefault="00527092" w:rsidP="00A94AE0">
            <w:pPr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életművek feldolgozásának szempontjai: az adott alkotó helye a korszakban, a műfajban, a nemzeti fil</w:t>
            </w:r>
            <w:r w:rsidRPr="00AA7D8D">
              <w:rPr>
                <w:sz w:val="22"/>
                <w:szCs w:val="22"/>
              </w:rPr>
              <w:t>m</w:t>
            </w:r>
            <w:r w:rsidRPr="00AA7D8D">
              <w:rPr>
                <w:sz w:val="22"/>
                <w:szCs w:val="22"/>
              </w:rPr>
              <w:t>gyártásban, a nemzetközi összefüggésekben. Stiláris, filmnyelvi, műfaji jellemzők. Szerzőiség és műfajiság. Az életmű szakaszai, díjak, elismerések. Az alkotó mu</w:t>
            </w:r>
            <w:r w:rsidRPr="00AA7D8D">
              <w:rPr>
                <w:sz w:val="22"/>
                <w:szCs w:val="22"/>
              </w:rPr>
              <w:t>n</w:t>
            </w:r>
            <w:r w:rsidRPr="00AA7D8D">
              <w:rPr>
                <w:sz w:val="22"/>
                <w:szCs w:val="22"/>
              </w:rPr>
              <w:t xml:space="preserve">kássága az alkotómunkán kívül. </w:t>
            </w:r>
            <w:r w:rsidRPr="00AA7D8D">
              <w:rPr>
                <w:b/>
                <w:bCs/>
                <w:sz w:val="22"/>
                <w:szCs w:val="22"/>
              </w:rPr>
              <w:t xml:space="preserve"> </w:t>
            </w:r>
          </w:p>
          <w:p w:rsidR="00527092" w:rsidRPr="00AA7D8D" w:rsidRDefault="00527092" w:rsidP="00A94AE0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Szakirodalom az adott alkotó munkásságáról. Az alkotó saját megnyilatkozásai. Egyéb források: interjúk, b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 xml:space="preserve">szélgetése, riportok, portréfilmek. </w:t>
            </w:r>
          </w:p>
          <w:p w:rsidR="00527092" w:rsidRPr="00AA7D8D" w:rsidRDefault="00527092" w:rsidP="00A94AE0">
            <w:pPr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bCs/>
                <w:sz w:val="22"/>
                <w:szCs w:val="22"/>
              </w:rPr>
              <w:t xml:space="preserve">Módszerek </w:t>
            </w:r>
          </w:p>
          <w:p w:rsidR="00527092" w:rsidRPr="00AA7D8D" w:rsidRDefault="00527092" w:rsidP="00A94AE0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Filmek közös megtekintése, elemzési feladatok. </w:t>
            </w:r>
          </w:p>
          <w:p w:rsidR="00527092" w:rsidRPr="00AA7D8D" w:rsidRDefault="00527092" w:rsidP="00A94AE0">
            <w:pPr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bCs/>
                <w:sz w:val="22"/>
                <w:szCs w:val="22"/>
              </w:rPr>
              <w:t>Követelmények, a tanegység teljesítésének feltételei:</w:t>
            </w:r>
          </w:p>
          <w:p w:rsidR="00527092" w:rsidRPr="00D15978" w:rsidRDefault="00527092" w:rsidP="00A94AE0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gyakorlati jegy megszerzéséhez: filmográfiák, bibliográfiák összeállítása, források felkutatása és használ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ta.</w:t>
            </w:r>
          </w:p>
        </w:tc>
      </w:tr>
      <w:tr w:rsidR="00527092" w:rsidRPr="00F459FA" w:rsidTr="00A94AE0">
        <w:tc>
          <w:tcPr>
            <w:tcW w:w="939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27092" w:rsidRPr="00F459FA" w:rsidRDefault="00527092" w:rsidP="00A94AE0">
            <w:pPr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bCs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iCs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iCs/>
                <w:sz w:val="24"/>
                <w:szCs w:val="24"/>
              </w:rPr>
              <w:t>ajánlott</w:t>
            </w:r>
            <w:r w:rsidRPr="00F459F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59FA">
              <w:rPr>
                <w:b/>
                <w:bCs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27092" w:rsidRPr="00F459FA" w:rsidTr="00A94AE0">
        <w:tc>
          <w:tcPr>
            <w:tcW w:w="9390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27092" w:rsidRPr="00AA7D8D" w:rsidRDefault="00527092" w:rsidP="00A94AE0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Kristin</w:t>
            </w:r>
            <w:proofErr w:type="spellEnd"/>
            <w:r w:rsidRPr="00AA7D8D">
              <w:rPr>
                <w:sz w:val="22"/>
                <w:szCs w:val="22"/>
              </w:rPr>
              <w:t xml:space="preserve"> Thompson – David </w:t>
            </w:r>
            <w:proofErr w:type="spellStart"/>
            <w:r w:rsidRPr="00AA7D8D">
              <w:rPr>
                <w:sz w:val="22"/>
                <w:szCs w:val="22"/>
              </w:rPr>
              <w:t>Bordwell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>A film története</w:t>
            </w:r>
            <w:r w:rsidRPr="00AA7D8D">
              <w:rPr>
                <w:sz w:val="22"/>
                <w:szCs w:val="22"/>
              </w:rPr>
              <w:t>. Palatinus, 2007.</w:t>
            </w:r>
            <w:r>
              <w:rPr>
                <w:sz w:val="22"/>
                <w:szCs w:val="22"/>
              </w:rPr>
              <w:t xml:space="preserve"> ISBN 9639487678</w:t>
            </w:r>
          </w:p>
          <w:p w:rsidR="00527092" w:rsidRPr="00AA7D8D" w:rsidRDefault="00527092" w:rsidP="00A94AE0">
            <w:pPr>
              <w:ind w:left="209" w:hanging="209"/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bCs/>
                <w:sz w:val="22"/>
                <w:szCs w:val="22"/>
              </w:rPr>
              <w:t>Ajánlott irodalom</w:t>
            </w:r>
          </w:p>
          <w:p w:rsidR="00527092" w:rsidRPr="00F459FA" w:rsidRDefault="00527092" w:rsidP="00A94AE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A7D8D">
              <w:rPr>
                <w:sz w:val="22"/>
                <w:szCs w:val="22"/>
              </w:rPr>
              <w:t xml:space="preserve">A </w:t>
            </w:r>
            <w:r w:rsidRPr="00AA7D8D">
              <w:rPr>
                <w:i/>
                <w:iCs/>
                <w:sz w:val="22"/>
                <w:szCs w:val="22"/>
              </w:rPr>
              <w:t>Metropolis</w:t>
            </w:r>
            <w:r w:rsidRPr="00AA7D8D">
              <w:rPr>
                <w:sz w:val="22"/>
                <w:szCs w:val="22"/>
              </w:rPr>
              <w:t xml:space="preserve"> alábbi számai: Gothár Péter (1997/tavasz), Tarr Béla (1997 nyár), Derek </w:t>
            </w:r>
            <w:proofErr w:type="spellStart"/>
            <w:r w:rsidRPr="00AA7D8D">
              <w:rPr>
                <w:sz w:val="22"/>
                <w:szCs w:val="22"/>
              </w:rPr>
              <w:t>Jarman</w:t>
            </w:r>
            <w:proofErr w:type="spellEnd"/>
            <w:r w:rsidRPr="00AA7D8D">
              <w:rPr>
                <w:sz w:val="22"/>
                <w:szCs w:val="22"/>
              </w:rPr>
              <w:t xml:space="preserve"> (1997 ősz), </w:t>
            </w:r>
            <w:proofErr w:type="spellStart"/>
            <w:r w:rsidRPr="00AA7D8D">
              <w:rPr>
                <w:sz w:val="22"/>
                <w:szCs w:val="22"/>
              </w:rPr>
              <w:t>Grunwalsky</w:t>
            </w:r>
            <w:proofErr w:type="spellEnd"/>
            <w:r w:rsidRPr="00AA7D8D">
              <w:rPr>
                <w:sz w:val="22"/>
                <w:szCs w:val="22"/>
              </w:rPr>
              <w:t xml:space="preserve"> Ferenc (1998 tavasz), Szőts István (1998 nyár), Szergej </w:t>
            </w:r>
            <w:proofErr w:type="spellStart"/>
            <w:r w:rsidRPr="00AA7D8D">
              <w:rPr>
                <w:sz w:val="22"/>
                <w:szCs w:val="22"/>
              </w:rPr>
              <w:t>Mihajlovics</w:t>
            </w:r>
            <w:proofErr w:type="spellEnd"/>
            <w:r w:rsidRPr="00AA7D8D">
              <w:rPr>
                <w:sz w:val="22"/>
                <w:szCs w:val="22"/>
              </w:rPr>
              <w:t xml:space="preserve"> Eisenstein (1998 ősz), Atom </w:t>
            </w:r>
            <w:proofErr w:type="spellStart"/>
            <w:r w:rsidRPr="00AA7D8D">
              <w:rPr>
                <w:sz w:val="22"/>
                <w:szCs w:val="22"/>
              </w:rPr>
              <w:t>Egoyan</w:t>
            </w:r>
            <w:proofErr w:type="spellEnd"/>
            <w:r w:rsidRPr="00AA7D8D">
              <w:rPr>
                <w:sz w:val="22"/>
                <w:szCs w:val="22"/>
              </w:rPr>
              <w:t xml:space="preserve"> (1999 tavasz), Forgács Péter (1999 nyár), Makk Károly (1999 ősz), </w:t>
            </w:r>
            <w:proofErr w:type="spellStart"/>
            <w:r w:rsidRPr="00AA7D8D">
              <w:rPr>
                <w:sz w:val="22"/>
                <w:szCs w:val="22"/>
              </w:rPr>
              <w:t>Jean-Luc</w:t>
            </w:r>
            <w:proofErr w:type="spellEnd"/>
            <w:r w:rsidRPr="00AA7D8D">
              <w:rPr>
                <w:sz w:val="22"/>
                <w:szCs w:val="22"/>
              </w:rPr>
              <w:t xml:space="preserve"> Godard (1999 tél), Magyar operatőrök (2001/1.), </w:t>
            </w:r>
            <w:proofErr w:type="spellStart"/>
            <w:r w:rsidRPr="00AA7D8D">
              <w:rPr>
                <w:sz w:val="22"/>
                <w:szCs w:val="22"/>
              </w:rPr>
              <w:t>Orson</w:t>
            </w:r>
            <w:proofErr w:type="spellEnd"/>
            <w:r w:rsidRPr="00AA7D8D">
              <w:rPr>
                <w:sz w:val="22"/>
                <w:szCs w:val="22"/>
              </w:rPr>
              <w:t xml:space="preserve"> Welles (2000/2.), Jancsó Miklós I-II.</w:t>
            </w:r>
            <w:proofErr w:type="gramEnd"/>
            <w:r w:rsidRPr="00AA7D8D">
              <w:rPr>
                <w:sz w:val="22"/>
                <w:szCs w:val="22"/>
              </w:rPr>
              <w:t xml:space="preserve"> (2001/3. és 2002/1.), Stanley </w:t>
            </w:r>
            <w:proofErr w:type="spellStart"/>
            <w:r w:rsidRPr="00AA7D8D">
              <w:rPr>
                <w:sz w:val="22"/>
                <w:szCs w:val="22"/>
              </w:rPr>
              <w:t>Kubrick</w:t>
            </w:r>
            <w:proofErr w:type="spellEnd"/>
            <w:r w:rsidRPr="00AA7D8D">
              <w:rPr>
                <w:sz w:val="22"/>
                <w:szCs w:val="22"/>
              </w:rPr>
              <w:t xml:space="preserve"> (2002/2.), Szabó István (2003/3.), Jeles András (2004/4.), Gaál István (2005/3.), </w:t>
            </w:r>
            <w:proofErr w:type="spellStart"/>
            <w:r w:rsidRPr="00AA7D8D">
              <w:rPr>
                <w:sz w:val="22"/>
                <w:szCs w:val="22"/>
              </w:rPr>
              <w:t>Wong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Kar-wai</w:t>
            </w:r>
            <w:proofErr w:type="spellEnd"/>
            <w:r w:rsidRPr="00AA7D8D">
              <w:rPr>
                <w:sz w:val="22"/>
                <w:szCs w:val="22"/>
              </w:rPr>
              <w:t xml:space="preserve"> (2005/4.), </w:t>
            </w:r>
            <w:proofErr w:type="spellStart"/>
            <w:r w:rsidRPr="00AA7D8D">
              <w:rPr>
                <w:sz w:val="22"/>
                <w:szCs w:val="22"/>
              </w:rPr>
              <w:t>Lars</w:t>
            </w:r>
            <w:proofErr w:type="spellEnd"/>
            <w:r w:rsidRPr="00AA7D8D">
              <w:rPr>
                <w:sz w:val="22"/>
                <w:szCs w:val="22"/>
              </w:rPr>
              <w:t xml:space="preserve"> von </w:t>
            </w:r>
            <w:proofErr w:type="spellStart"/>
            <w:r w:rsidRPr="00AA7D8D">
              <w:rPr>
                <w:sz w:val="22"/>
                <w:szCs w:val="22"/>
              </w:rPr>
              <w:t>Trier</w:t>
            </w:r>
            <w:proofErr w:type="spellEnd"/>
            <w:r w:rsidRPr="00AA7D8D">
              <w:rPr>
                <w:sz w:val="22"/>
                <w:szCs w:val="22"/>
              </w:rPr>
              <w:t xml:space="preserve"> (2006/2.)</w:t>
            </w:r>
            <w:r>
              <w:rPr>
                <w:sz w:val="22"/>
                <w:szCs w:val="22"/>
              </w:rPr>
              <w:t xml:space="preserve">, Robert </w:t>
            </w:r>
            <w:proofErr w:type="spellStart"/>
            <w:r>
              <w:rPr>
                <w:sz w:val="22"/>
                <w:szCs w:val="22"/>
              </w:rPr>
              <w:t>Altman</w:t>
            </w:r>
            <w:proofErr w:type="spellEnd"/>
            <w:r>
              <w:rPr>
                <w:sz w:val="22"/>
                <w:szCs w:val="22"/>
              </w:rPr>
              <w:t xml:space="preserve"> (2009/2.)</w:t>
            </w:r>
          </w:p>
        </w:tc>
      </w:tr>
      <w:tr w:rsidR="00527092" w:rsidRPr="00F459FA" w:rsidTr="00A94AE0">
        <w:trPr>
          <w:trHeight w:val="338"/>
        </w:trPr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527092" w:rsidRPr="004E1D99" w:rsidRDefault="00527092" w:rsidP="00A94AE0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F459FA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iCs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E1D99">
              <w:rPr>
                <w:b/>
                <w:bCs/>
                <w:sz w:val="22"/>
                <w:szCs w:val="22"/>
              </w:rPr>
              <w:t xml:space="preserve">Szíjártó Imre, főiskolai docens, </w:t>
            </w:r>
            <w:proofErr w:type="spellStart"/>
            <w:r w:rsidRPr="004E1D99">
              <w:rPr>
                <w:b/>
                <w:bCs/>
                <w:sz w:val="22"/>
                <w:szCs w:val="22"/>
              </w:rPr>
              <w:t>habil</w:t>
            </w:r>
            <w:proofErr w:type="spellEnd"/>
            <w:r w:rsidRPr="004E1D99">
              <w:rPr>
                <w:b/>
                <w:bCs/>
                <w:sz w:val="22"/>
                <w:szCs w:val="22"/>
              </w:rPr>
              <w:t>. PhD</w:t>
            </w:r>
          </w:p>
        </w:tc>
      </w:tr>
      <w:tr w:rsidR="00527092" w:rsidRPr="00F459FA" w:rsidTr="00A94AE0">
        <w:trPr>
          <w:trHeight w:val="337"/>
        </w:trPr>
        <w:tc>
          <w:tcPr>
            <w:tcW w:w="9390" w:type="dxa"/>
            <w:gridSpan w:val="2"/>
            <w:tcMar>
              <w:top w:w="57" w:type="dxa"/>
              <w:bottom w:w="57" w:type="dxa"/>
            </w:tcMar>
          </w:tcPr>
          <w:p w:rsidR="00527092" w:rsidRPr="00F459FA" w:rsidRDefault="00527092" w:rsidP="00A94AE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59FA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bCs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bCs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iCs/>
                <w:sz w:val="24"/>
                <w:szCs w:val="24"/>
              </w:rPr>
              <w:t>név, beosztás, tud. fokozat</w:t>
            </w:r>
            <w:r>
              <w:rPr>
                <w:i/>
                <w:iCs/>
                <w:sz w:val="24"/>
                <w:szCs w:val="24"/>
              </w:rPr>
              <w:t>):</w:t>
            </w:r>
            <w:r>
              <w:rPr>
                <w:b/>
                <w:bCs/>
                <w:sz w:val="24"/>
                <w:szCs w:val="24"/>
              </w:rPr>
              <w:t xml:space="preserve"> Veress József, c. főiskolai tanár,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527092" w:rsidRDefault="00527092">
      <w:bookmarkStart w:id="0" w:name="_GoBack"/>
      <w:bookmarkEnd w:id="0"/>
    </w:p>
    <w:sectPr w:rsidR="0052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2"/>
    <w:rsid w:val="005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270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270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2012-07-03T13:15:00Z</dcterms:created>
  <dcterms:modified xsi:type="dcterms:W3CDTF">2012-07-03T13:16:00Z</dcterms:modified>
</cp:coreProperties>
</file>