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066ECD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D52129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FB3E62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MG_KG114G5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1D69A6">
              <w:rPr>
                <w:rFonts w:ascii="Times New Roman" w:eastAsia="Times New Roman" w:hAnsi="Times New Roman" w:cs="Times New Roman"/>
                <w:bCs/>
              </w:rPr>
              <w:t>ea</w:t>
            </w:r>
            <w:proofErr w:type="spellEnd"/>
            <w:r w:rsidRPr="001D69A6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tantárgy tantervi helye</w:t>
            </w:r>
            <w:r w:rsidR="00066ECD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</w:t>
            </w:r>
            <w:r w:rsidR="00066ECD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="00066ECD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="00066ECD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="00066E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6</w:t>
            </w:r>
            <w:r w:rsidR="00066E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="00066ECD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="00066E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66EC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="00066ECD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="00066E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 w:rsidR="00066E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AB64A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066ECD" w:rsidRPr="00066ECD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SZAKMÓDSZERTAN (KÖZGAZDÁSZTANÁR) I.</w:t>
            </w:r>
          </w:p>
        </w:tc>
      </w:tr>
      <w:tr w:rsidR="000A4BBB" w:rsidRPr="00292D7B" w:rsidTr="00066ECD">
        <w:trPr>
          <w:trHeight w:val="603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Tantárgyleírás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: az elsajátítandó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ismeretanyag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és a kialakítandó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kompetenciák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tömör, ugyanakkor informáló leírása</w:t>
            </w:r>
          </w:p>
        </w:tc>
      </w:tr>
      <w:tr w:rsidR="000A4BBB" w:rsidRPr="00292D7B" w:rsidTr="00066ECD">
        <w:trPr>
          <w:trHeight w:val="31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A kurzus célja a hallgatók felkészítése az iskolai tanítási gyakorlatra és majdani tanári munkájuk végzésére. Figyeljenek meg és elemezzenek tanórai és tanórán kívüli gazdasági szemléletformálásra alkalmas szituációkat; érzékeljék a szakmai ismeretnyújtás és az általános gazdasági szemléletformálás módszerei közötti különbségeket.</w:t>
            </w:r>
          </w:p>
          <w:p w:rsidR="001D69A6" w:rsidRPr="001D69A6" w:rsidRDefault="00066ECD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</w:t>
            </w:r>
          </w:p>
          <w:p w:rsidR="001D69A6" w:rsidRPr="00A1299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299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Ismeretek:</w:t>
            </w:r>
            <w:r w:rsidRPr="00A129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 vállalkozó kompetenciáinak ismerete; az aktivizáló módszerek alkalmazásának feltételei és szabályai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képességek:</w:t>
            </w: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 modell-alkotás képessége, motiváló készség, ötletgazdagság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i/>
                <w:sz w:val="20"/>
                <w:szCs w:val="20"/>
              </w:rPr>
              <w:t>Attitűdök:</w:t>
            </w: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 játékosság, kreativitás, empátia</w:t>
            </w:r>
          </w:p>
          <w:p w:rsidR="001D69A6" w:rsidRPr="001D69A6" w:rsidRDefault="00066ECD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Fontosabb témakörök</w:t>
            </w:r>
            <w:r w:rsidR="001D69A6" w:rsidRPr="001D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A vállalkozói kompetenciák, és fejlesztésük lehetőségei. A vállalkozói készségfejlesztés sajátos módszere: a gyakorlóiroda és a szimulált (tanirodai) vállalkozás. A vállalkozói attitűd fejlesztését célzó civil kezdeményezés: a Junior </w:t>
            </w:r>
            <w:proofErr w:type="spellStart"/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  <w:proofErr w:type="spellEnd"/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 JA oktatási programjai és rendezvényei. Diákvállalkozások.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Speciális, aktivitásra építő módszerek: csoportmunka; projektmódszer. A projektmódszer alkalmazásának lehetőségei és korlátai. Az esettanulmány, mint módszer. 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Tanítás sajátos területeken: szakköri munka, vizsgára, versenyre való felkészítés. A kiemelkedő képességű tanulókkal való foglalkozás; a lemaradó tanulók felzárkóztatásának módjai. 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Közgazdasági szemléletformálás nem gazdasági szakórákon; a gazdálkodói érzék és képesség fejlesztése általános iskolában és nem közgazdasági jellegű középiskolákban.</w:t>
            </w:r>
          </w:p>
          <w:p w:rsidR="001D69A6" w:rsidRPr="001D69A6" w:rsidRDefault="001D69A6" w:rsidP="001D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Tanórán és iskolán kívüli lehetőségek: tanulmányi látogatások, kirándulások – gazdasági témájú tanóra tartása külső helyszínen. </w:t>
            </w:r>
          </w:p>
          <w:p w:rsidR="00154948" w:rsidRDefault="001D69A6" w:rsidP="001549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0A4BBB" w:rsidRPr="001D69A6" w:rsidRDefault="001D69A6" w:rsidP="001D69A6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A hallgatóknak a félév során három részfeladatot kell megoldaniuk. Be kell nyújtaniuk </w:t>
            </w:r>
            <w:r w:rsidRPr="001D69A6">
              <w:rPr>
                <w:rFonts w:ascii="Times New Roman" w:hAnsi="Times New Roman" w:cs="Times New Roman"/>
                <w:b/>
                <w:sz w:val="20"/>
                <w:szCs w:val="20"/>
              </w:rPr>
              <w:t>két írásbeli házi feladat</w:t>
            </w: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 xml:space="preserve">ot (egy hospitálási jegyzőkönyvet, amely valamely közismereti tantárgy gazdasági témát érintő tanóráján készült; továbbá be kell mutatni egy olyan külső helyszínt, ahol kihelyezett, gazdasági témájú tanóra lenne tartható). Minden hallgatónak csatlakoznia kell egy 2-3 fős </w:t>
            </w:r>
            <w:proofErr w:type="spellStart"/>
            <w:r w:rsidRPr="001D69A6">
              <w:rPr>
                <w:rFonts w:ascii="Times New Roman" w:hAnsi="Times New Roman" w:cs="Times New Roman"/>
                <w:b/>
                <w:sz w:val="20"/>
                <w:szCs w:val="20"/>
              </w:rPr>
              <w:t>team</w:t>
            </w: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-hez</w:t>
            </w:r>
            <w:proofErr w:type="spellEnd"/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; a csoportok adott témát előre meghatározott időpontra kidolgoznak és prezentáció kíséretében eredményeiket bemutatják az évfolyamcsoportnak. (</w:t>
            </w:r>
            <w:r w:rsidR="00B3312E" w:rsidRPr="00B3312E">
              <w:rPr>
                <w:rFonts w:ascii="Times New Roman" w:hAnsi="Times New Roman" w:cs="Times New Roman"/>
                <w:sz w:val="20"/>
                <w:szCs w:val="20"/>
              </w:rPr>
              <w:t xml:space="preserve">A kidolgozandó témák a szemináriumi témakörökhöz kapcsolódnak; főként a vállalkozói attitűd fejlesztésére irányuló módszerek alkalmazásának jó gyakorlatait mutatják majd be. </w:t>
            </w:r>
            <w:r w:rsidRPr="001D69A6">
              <w:rPr>
                <w:rFonts w:ascii="Times New Roman" w:hAnsi="Times New Roman" w:cs="Times New Roman"/>
                <w:sz w:val="20"/>
                <w:szCs w:val="20"/>
              </w:rPr>
              <w:t>A kidolgozandó témákat a kurzus vezetője határozza meg az első foglalkozáson.)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066ECD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DF539A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Kötelező irodalom</w:t>
            </w:r>
          </w:p>
          <w:p w:rsidR="001D69A6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Dérné Dér Tünde (szerk.) (2002):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Taniroda, gyakorlócég</w:t>
            </w:r>
            <w:r w:rsidR="0018547A"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In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: Nemcsak kezdőknek, módszertani ajánlások a tanirodai gyakorlatokhoz, NSZI.</w:t>
            </w:r>
          </w:p>
          <w:p w:rsidR="001D69A6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Tózsáné</w:t>
            </w:r>
            <w:proofErr w:type="spell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Talyiga</w:t>
            </w:r>
            <w:proofErr w:type="spell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Anikó – Vízi Izabella: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Szimulált vállalkozások alapítása és működtetése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– Módszertani segédanyag. Teljes terjedelme 138 oldal. Készült Egerben, 2004-ben, Phare-projekt keretében. </w:t>
            </w:r>
          </w:p>
          <w:p w:rsidR="001D69A6" w:rsidRPr="00DF539A" w:rsidRDefault="001D69A6" w:rsidP="001D69A6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Ajánlott irodalom:</w:t>
            </w:r>
          </w:p>
          <w:p w:rsidR="001D69A6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Hollóné Kacsó Erzsébet (szerk.) (2004):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Alapfogalmaktól az üzleti tervig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(Vállalkozói készségek fejlesztése a középfokú- és felsőoktatásban), Eger.</w:t>
            </w:r>
          </w:p>
          <w:p w:rsidR="00A12996" w:rsidRPr="00DF539A" w:rsidRDefault="00A1299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Papanek Gábor (szerk</w:t>
            </w:r>
            <w:r w:rsidR="0093336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933366">
              <w:rPr>
                <w:rFonts w:ascii="Times New Roman" w:hAnsi="Times New Roman" w:cs="Times New Roman"/>
                <w:sz w:val="18"/>
                <w:szCs w:val="20"/>
              </w:rPr>
              <w:t xml:space="preserve"> (2007)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Gyakorlati vállal</w:t>
            </w:r>
            <w:r w:rsidR="00DF539A"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kozási ismeretek.</w:t>
            </w:r>
            <w:r w:rsidR="00DF539A"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PR Editor.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D69A6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Kádek István (2007):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Régiófejlesztés – vállalkozói szemlélet – </w:t>
            </w:r>
            <w:proofErr w:type="gramStart"/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vállalkozás oktatás</w:t>
            </w:r>
            <w:proofErr w:type="gramEnd"/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Eszterházy Károly Főiskola Tudományos Közleményei – </w:t>
            </w:r>
            <w:proofErr w:type="spellStart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Acta</w:t>
            </w:r>
            <w:proofErr w:type="spell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Oeconomica</w:t>
            </w:r>
            <w:proofErr w:type="spell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, 273-286.o.</w:t>
            </w:r>
          </w:p>
          <w:p w:rsidR="001D69A6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Kádek István: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Út a sikeres vállalkozás-tanításhoz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(módszerek a vállalkozói szemlélet fejlesztéséhez</w:t>
            </w:r>
            <w:proofErr w:type="gramStart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)     </w:t>
            </w:r>
            <w:r w:rsidR="00154948" w:rsidRPr="00DF539A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Készült</w:t>
            </w:r>
            <w:proofErr w:type="gram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Egerben, 2004-ben, Phare-projekt keretében</w:t>
            </w:r>
          </w:p>
          <w:p w:rsidR="00856D88" w:rsidRPr="00DF539A" w:rsidRDefault="001D69A6" w:rsidP="001D69A6">
            <w:pPr>
              <w:spacing w:before="40" w:after="40" w:line="240" w:lineRule="auto"/>
              <w:ind w:left="284" w:hanging="284"/>
              <w:jc w:val="both"/>
              <w:rPr>
                <w:sz w:val="18"/>
                <w:szCs w:val="20"/>
              </w:rPr>
            </w:pP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A „</w:t>
            </w:r>
            <w:r w:rsidRPr="00DF539A">
              <w:rPr>
                <w:rFonts w:ascii="Times New Roman" w:hAnsi="Times New Roman" w:cs="Times New Roman"/>
                <w:b/>
                <w:sz w:val="18"/>
                <w:szCs w:val="20"/>
              </w:rPr>
              <w:t>J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unior </w:t>
            </w:r>
            <w:proofErr w:type="spellStart"/>
            <w:r w:rsidRPr="00DF539A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chievement</w:t>
            </w:r>
            <w:proofErr w:type="spellEnd"/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F539A">
              <w:rPr>
                <w:rFonts w:ascii="Times New Roman" w:hAnsi="Times New Roman" w:cs="Times New Roman"/>
                <w:b/>
                <w:sz w:val="18"/>
                <w:szCs w:val="20"/>
              </w:rPr>
              <w:t>M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agyarország”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tananyagai 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 xml:space="preserve">és módszertani </w:t>
            </w:r>
            <w:r w:rsidRPr="00DF539A">
              <w:rPr>
                <w:rFonts w:ascii="Times New Roman" w:hAnsi="Times New Roman" w:cs="Times New Roman"/>
                <w:i/>
                <w:sz w:val="18"/>
                <w:szCs w:val="20"/>
              </w:rPr>
              <w:t>segédkönyvei</w:t>
            </w:r>
            <w:r w:rsidRPr="00DF53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0A4BBB" w:rsidRPr="00292D7B" w:rsidTr="00066ECD">
        <w:trPr>
          <w:trHeight w:val="33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066ECD">
        <w:trPr>
          <w:trHeight w:val="337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A129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C9" w:rsidRDefault="006011C9" w:rsidP="000A4BBB">
      <w:pPr>
        <w:spacing w:after="0" w:line="240" w:lineRule="auto"/>
      </w:pPr>
      <w:r>
        <w:separator/>
      </w:r>
    </w:p>
  </w:endnote>
  <w:endnote w:type="continuationSeparator" w:id="0">
    <w:p w:rsidR="006011C9" w:rsidRDefault="006011C9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C9" w:rsidRDefault="006011C9" w:rsidP="000A4BBB">
      <w:pPr>
        <w:spacing w:after="0" w:line="240" w:lineRule="auto"/>
      </w:pPr>
      <w:r>
        <w:separator/>
      </w:r>
    </w:p>
  </w:footnote>
  <w:footnote w:type="continuationSeparator" w:id="0">
    <w:p w:rsidR="006011C9" w:rsidRDefault="006011C9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8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66ECD"/>
    <w:rsid w:val="000703D2"/>
    <w:rsid w:val="000A4BBB"/>
    <w:rsid w:val="000C077D"/>
    <w:rsid w:val="000C7245"/>
    <w:rsid w:val="000D7D6A"/>
    <w:rsid w:val="000E4D8D"/>
    <w:rsid w:val="000F5A8F"/>
    <w:rsid w:val="001544BF"/>
    <w:rsid w:val="00154948"/>
    <w:rsid w:val="00154B0E"/>
    <w:rsid w:val="0017171B"/>
    <w:rsid w:val="001800BD"/>
    <w:rsid w:val="00180824"/>
    <w:rsid w:val="0018547A"/>
    <w:rsid w:val="001D69A6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2F1FD9"/>
    <w:rsid w:val="00300181"/>
    <w:rsid w:val="00350497"/>
    <w:rsid w:val="003562BC"/>
    <w:rsid w:val="00384686"/>
    <w:rsid w:val="003F0EFD"/>
    <w:rsid w:val="004512D3"/>
    <w:rsid w:val="004529D7"/>
    <w:rsid w:val="00457156"/>
    <w:rsid w:val="004578ED"/>
    <w:rsid w:val="004A5626"/>
    <w:rsid w:val="004C3BE5"/>
    <w:rsid w:val="004F7613"/>
    <w:rsid w:val="00501FF2"/>
    <w:rsid w:val="00505BC7"/>
    <w:rsid w:val="00506D27"/>
    <w:rsid w:val="00522B25"/>
    <w:rsid w:val="0055485D"/>
    <w:rsid w:val="0056083A"/>
    <w:rsid w:val="005809BB"/>
    <w:rsid w:val="00585D21"/>
    <w:rsid w:val="005C76F8"/>
    <w:rsid w:val="005D1C9C"/>
    <w:rsid w:val="005D36FD"/>
    <w:rsid w:val="006011C9"/>
    <w:rsid w:val="00605EF5"/>
    <w:rsid w:val="0061746A"/>
    <w:rsid w:val="0062146C"/>
    <w:rsid w:val="006264EF"/>
    <w:rsid w:val="00634865"/>
    <w:rsid w:val="006C21E9"/>
    <w:rsid w:val="006E6CF3"/>
    <w:rsid w:val="007A2A05"/>
    <w:rsid w:val="007B64AF"/>
    <w:rsid w:val="008444DA"/>
    <w:rsid w:val="00856C17"/>
    <w:rsid w:val="00856D88"/>
    <w:rsid w:val="008823B3"/>
    <w:rsid w:val="008863AC"/>
    <w:rsid w:val="0089160D"/>
    <w:rsid w:val="008A5D52"/>
    <w:rsid w:val="008A681A"/>
    <w:rsid w:val="008B4E11"/>
    <w:rsid w:val="008B525D"/>
    <w:rsid w:val="008D0C5D"/>
    <w:rsid w:val="00921D42"/>
    <w:rsid w:val="00930651"/>
    <w:rsid w:val="00933366"/>
    <w:rsid w:val="009B30D6"/>
    <w:rsid w:val="009C2274"/>
    <w:rsid w:val="009D1CC9"/>
    <w:rsid w:val="00A10281"/>
    <w:rsid w:val="00A12996"/>
    <w:rsid w:val="00A50AF6"/>
    <w:rsid w:val="00A81CC7"/>
    <w:rsid w:val="00A95FF3"/>
    <w:rsid w:val="00AB64A2"/>
    <w:rsid w:val="00AB6A95"/>
    <w:rsid w:val="00AC1F22"/>
    <w:rsid w:val="00AE00CF"/>
    <w:rsid w:val="00B3312E"/>
    <w:rsid w:val="00B51FAE"/>
    <w:rsid w:val="00BA34BA"/>
    <w:rsid w:val="00BC5D7A"/>
    <w:rsid w:val="00BF1E0F"/>
    <w:rsid w:val="00BF1F66"/>
    <w:rsid w:val="00C0344A"/>
    <w:rsid w:val="00C0588A"/>
    <w:rsid w:val="00C11E39"/>
    <w:rsid w:val="00C82698"/>
    <w:rsid w:val="00CB264E"/>
    <w:rsid w:val="00CD6250"/>
    <w:rsid w:val="00D3003F"/>
    <w:rsid w:val="00D408B1"/>
    <w:rsid w:val="00D52129"/>
    <w:rsid w:val="00D64F9A"/>
    <w:rsid w:val="00D66702"/>
    <w:rsid w:val="00D700E3"/>
    <w:rsid w:val="00DC3902"/>
    <w:rsid w:val="00DD443D"/>
    <w:rsid w:val="00DE0E38"/>
    <w:rsid w:val="00DF539A"/>
    <w:rsid w:val="00E66272"/>
    <w:rsid w:val="00EC530F"/>
    <w:rsid w:val="00EE0D17"/>
    <w:rsid w:val="00EF1D6C"/>
    <w:rsid w:val="00F16D21"/>
    <w:rsid w:val="00F57079"/>
    <w:rsid w:val="00F72946"/>
    <w:rsid w:val="00FA6CC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17B-33C5-4FF8-BD23-A1BCF0CF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2013-07-03T06:35:00Z</dcterms:created>
  <dcterms:modified xsi:type="dcterms:W3CDTF">2013-07-03T06:35:00Z</dcterms:modified>
</cp:coreProperties>
</file>