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-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2339"/>
        <w:gridCol w:w="2874"/>
      </w:tblGrid>
      <w:tr w:rsidR="00CA6143" w:rsidTr="009132D8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>A tantárgy megnevezése: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>Kreditszám:</w:t>
            </w:r>
          </w:p>
        </w:tc>
      </w:tr>
      <w:tr w:rsidR="00CA6143" w:rsidTr="009132D8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6143" w:rsidRDefault="00CA6143" w:rsidP="009132D8">
            <w:pPr>
              <w:rPr>
                <w:b/>
              </w:rPr>
            </w:pPr>
            <w:r>
              <w:rPr>
                <w:b/>
              </w:rPr>
              <w:t>Szellemi és művészeti irányzatok a német kultúrában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>NMB_NE113G2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CA6143" w:rsidTr="009132D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>A tantárgyért felelős szervezeti egység: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>A kurzus jellege: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>Kontaktóraszám:</w:t>
            </w:r>
          </w:p>
        </w:tc>
      </w:tr>
      <w:tr w:rsidR="00CA6143" w:rsidTr="009132D8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 xml:space="preserve"> 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 xml:space="preserve"> 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</w:tr>
      <w:tr w:rsidR="00CA6143" w:rsidTr="009132D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>Előfeltételek: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>Az értékelés formája: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CA6143" w:rsidTr="009132D8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3" w:rsidRDefault="00CA6143" w:rsidP="009132D8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143" w:rsidRDefault="00CA6143" w:rsidP="009132D8">
            <w:pPr>
              <w:jc w:val="both"/>
              <w:rPr>
                <w:b/>
              </w:rPr>
            </w:pPr>
          </w:p>
        </w:tc>
      </w:tr>
      <w:tr w:rsidR="00CA6143" w:rsidTr="009132D8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>Kompetenciák: (1, 4, 5, 8, 9)</w:t>
            </w:r>
          </w:p>
          <w:p w:rsidR="00CA6143" w:rsidRDefault="00CA6143" w:rsidP="009132D8">
            <w:pPr>
              <w:jc w:val="both"/>
            </w:pPr>
            <w:r>
              <w:t>A tanulói személyiség fejlesztése.</w:t>
            </w:r>
          </w:p>
          <w:p w:rsidR="00CA6143" w:rsidRDefault="00CA6143" w:rsidP="009132D8">
            <w:pPr>
              <w:jc w:val="both"/>
            </w:pPr>
            <w:r>
              <w:t>A tanulók műveltségének, készségeinek és képességeinek fejlesztése a tudás felhasználásával.</w:t>
            </w:r>
          </w:p>
          <w:p w:rsidR="00CA6143" w:rsidRDefault="00CA6143" w:rsidP="009132D8">
            <w:pPr>
              <w:jc w:val="both"/>
            </w:pPr>
            <w:r>
              <w:t>Az egész életen át tartó tanulást megalapozó kompetenciák fejlesztése.</w:t>
            </w:r>
          </w:p>
          <w:p w:rsidR="00CA6143" w:rsidRDefault="00CA6143" w:rsidP="009132D8">
            <w:pPr>
              <w:jc w:val="both"/>
            </w:pPr>
            <w:r>
              <w:t>Szakmai együttműködés és kommunikáció.</w:t>
            </w:r>
          </w:p>
          <w:p w:rsidR="00CA6143" w:rsidRDefault="00CA6143" w:rsidP="009132D8">
            <w:pPr>
              <w:jc w:val="both"/>
            </w:pPr>
            <w:r>
              <w:t>Önművelés, elkötelezettség a szakmai fejlődésre.</w:t>
            </w:r>
          </w:p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 xml:space="preserve">Tudás: </w:t>
            </w:r>
          </w:p>
          <w:p w:rsidR="00CA6143" w:rsidRDefault="00CA6143" w:rsidP="009132D8">
            <w:pPr>
              <w:jc w:val="both"/>
              <w:rPr>
                <w:b/>
              </w:rPr>
            </w:pPr>
            <w:r>
              <w:t>A német kultúra főbb területeinek, szellemi és művészeti irányzatainak ismerete. A német</w:t>
            </w:r>
            <w:r>
              <w:rPr>
                <w:color w:val="000000"/>
              </w:rPr>
              <w:t xml:space="preserve"> kultúrkör elhelyezése az egyetemes kultúrában.</w:t>
            </w:r>
          </w:p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 xml:space="preserve">Attitűdök/nézetek: </w:t>
            </w:r>
          </w:p>
          <w:p w:rsidR="00CA6143" w:rsidRDefault="00CA6143" w:rsidP="009132D8">
            <w:pPr>
              <w:jc w:val="both"/>
            </w:pPr>
            <w:r>
              <w:rPr>
                <w:color w:val="000000"/>
              </w:rPr>
              <w:t>Nyitottság és tolerancia a nemzeti kultúrák iránt.</w:t>
            </w:r>
          </w:p>
          <w:p w:rsidR="00CA6143" w:rsidRDefault="00CA6143" w:rsidP="009132D8">
            <w:pPr>
              <w:jc w:val="both"/>
            </w:pPr>
            <w:r>
              <w:t>Minél sokoldalúbban mutassa be a témához kapcsolódó kérdésköröket.</w:t>
            </w:r>
          </w:p>
          <w:p w:rsidR="00CA6143" w:rsidRDefault="00CA6143" w:rsidP="009132D8">
            <w:pPr>
              <w:jc w:val="both"/>
            </w:pPr>
            <w:r>
              <w:t>A szaktárgyi tudást eszközként alkalmazza a tanulók személyiségfejlesztése érdekében.</w:t>
            </w:r>
          </w:p>
          <w:p w:rsidR="00CA6143" w:rsidRDefault="00CA6143" w:rsidP="009132D8">
            <w:pPr>
              <w:jc w:val="both"/>
            </w:pPr>
            <w:r>
              <w:t xml:space="preserve">Segítse tanulóit abban, hogy felkészülhessenek az egész életen át tartó tanulásra.  </w:t>
            </w:r>
          </w:p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 xml:space="preserve">Képességek: </w:t>
            </w:r>
          </w:p>
          <w:p w:rsidR="00CA6143" w:rsidRDefault="00CA6143" w:rsidP="009132D8">
            <w:pPr>
              <w:jc w:val="both"/>
              <w:rPr>
                <w:b/>
              </w:rPr>
            </w:pPr>
            <w:r>
              <w:t>Képes az adott témakörök szakirodalmának önálló tanulmányozására és feldolgozására, a meglévő tudás bővítésére.</w:t>
            </w:r>
          </w:p>
          <w:p w:rsidR="00CA6143" w:rsidRDefault="00CA6143" w:rsidP="009132D8">
            <w:pPr>
              <w:jc w:val="both"/>
              <w:rPr>
                <w:b/>
              </w:rPr>
            </w:pPr>
            <w:r>
              <w:t xml:space="preserve">Járatos az adott témakörökhöz kapcsolódó szakmai terminológia használatában, bővítésében. </w:t>
            </w:r>
          </w:p>
          <w:p w:rsidR="00CA6143" w:rsidRDefault="00CA6143" w:rsidP="009132D8">
            <w:pPr>
              <w:jc w:val="both"/>
            </w:pPr>
            <w:r>
              <w:rPr>
                <w:color w:val="000000"/>
              </w:rPr>
              <w:t>Önművelésre való képesség, elemzőkészség, véleménykifejtés, vitakultúra.</w:t>
            </w:r>
          </w:p>
          <w:p w:rsidR="00CA6143" w:rsidRDefault="00CA6143" w:rsidP="009132D8">
            <w:pPr>
              <w:jc w:val="both"/>
            </w:pPr>
            <w:r>
              <w:t>Képes a szaktárgyi tudásnak a gyakorlati élethez való kapcsolására.</w:t>
            </w:r>
          </w:p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>Cél:</w:t>
            </w:r>
            <w:r>
              <w:rPr>
                <w:b/>
                <w:i/>
              </w:rPr>
              <w:t xml:space="preserve">  </w:t>
            </w:r>
          </w:p>
          <w:p w:rsidR="00CA6143" w:rsidRDefault="00CA6143" w:rsidP="009132D8">
            <w:pPr>
              <w:jc w:val="both"/>
            </w:pPr>
            <w:r>
              <w:t xml:space="preserve">A tanegység célja, hogy áttekintést adjon német nyelvterület legfontosabb szellemi és művészeti irányzatairól, amelyek meghatározóak a német kultúra sajátos arculatának kialakulásában, és szerves részei az egyetemes emberi kultúrának. </w:t>
            </w:r>
            <w:r>
              <w:rPr>
                <w:bCs/>
              </w:rPr>
              <w:t xml:space="preserve">A kultúrák iránti nyitottság kifejlesztése. </w:t>
            </w:r>
            <w:r>
              <w:t>A hallgatók legyenek képesek ismereteiket az idegen nyelvi órán a tananyagba integrálni, saját tananyagot készíteni, ezáltal a tanulók szociokulturális kompetenciáját fejleszteni.</w:t>
            </w:r>
          </w:p>
          <w:p w:rsidR="00CA6143" w:rsidRDefault="00CA6143" w:rsidP="009132D8">
            <w:pPr>
              <w:jc w:val="both"/>
            </w:pPr>
            <w:r>
              <w:rPr>
                <w:b/>
              </w:rPr>
              <w:t>Tartalom:</w:t>
            </w:r>
          </w:p>
          <w:p w:rsidR="00CA6143" w:rsidRDefault="00CA6143" w:rsidP="009132D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A kurzus betekintést nyújt </w:t>
            </w:r>
            <w:r>
              <w:rPr>
                <w:bCs/>
              </w:rPr>
              <w:t xml:space="preserve">egyetemes művelődéstörténeti és művészettörténeti periodizációt követve a 18-19. századra fókuszálva </w:t>
            </w:r>
            <w:r>
              <w:t xml:space="preserve">az irodalom, színház, filozófia, nevelés, zene és a képzőművészetek legmeghatározóbb irányaiba, bemutatja legjelentősebb gondolkodóit, alkotóit és alkotásaikat. A 18-19. század a német kultúra és szellemi fejlődés egyik igen jelentős időszaka. A hallgatók megismerik a felvilágosodás sajátos német arculatát, a német idealizmus filozófiáját, a német klasszicizmus esztétikáját, a Sturm und </w:t>
            </w:r>
            <w:proofErr w:type="spellStart"/>
            <w:r>
              <w:t>Drang</w:t>
            </w:r>
            <w:proofErr w:type="spellEnd"/>
            <w:r>
              <w:t xml:space="preserve"> mozgalmat, a klasszicizmus és a romantika irodalmi, zenei és képzőművészeti eredményeit, alkotásait, a 19. századi kontinentális filozófia német képviselőit.</w:t>
            </w:r>
          </w:p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>Módszerek:</w:t>
            </w:r>
          </w:p>
          <w:p w:rsidR="00CA6143" w:rsidRDefault="00CA6143" w:rsidP="009132D8">
            <w:pPr>
              <w:jc w:val="both"/>
            </w:pPr>
            <w:r>
              <w:t>Egyéni, kiscsoportos és projektmunka.</w:t>
            </w:r>
          </w:p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>Követelmények, a tanegység teljesítésének feltételei:</w:t>
            </w:r>
          </w:p>
          <w:p w:rsidR="00CA6143" w:rsidRDefault="00CA6143" w:rsidP="009132D8">
            <w:pPr>
              <w:ind w:right="-108"/>
            </w:pPr>
            <w:r>
              <w:t>Referátum, a hallgatók órai munkája, projektmunkával elkészített portfólió</w:t>
            </w:r>
          </w:p>
        </w:tc>
      </w:tr>
      <w:tr w:rsidR="00CA6143" w:rsidTr="009132D8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>Kötelező olvasmányok:</w:t>
            </w:r>
          </w:p>
          <w:p w:rsidR="00CA6143" w:rsidRDefault="00CA6143" w:rsidP="00CA6143">
            <w:pPr>
              <w:numPr>
                <w:ilvl w:val="0"/>
                <w:numId w:val="2"/>
              </w:numPr>
              <w:jc w:val="both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Gössmann</w:t>
            </w:r>
            <w:proofErr w:type="spellEnd"/>
            <w:r>
              <w:rPr>
                <w:bCs/>
                <w:lang w:val="de-DE"/>
              </w:rPr>
              <w:t xml:space="preserve">, Wilhelm (2006): Deutsche Kulturgeschichte im Grundriss. München: Max </w:t>
            </w:r>
            <w:proofErr w:type="spellStart"/>
            <w:r>
              <w:rPr>
                <w:bCs/>
                <w:lang w:val="de-DE"/>
              </w:rPr>
              <w:t>Hueber</w:t>
            </w:r>
            <w:proofErr w:type="spellEnd"/>
            <w:r>
              <w:rPr>
                <w:bCs/>
                <w:lang w:val="de-DE"/>
              </w:rPr>
              <w:t xml:space="preserve"> Verlag.</w:t>
            </w:r>
          </w:p>
          <w:p w:rsidR="00CA6143" w:rsidRDefault="00CA6143" w:rsidP="00CA6143">
            <w:pPr>
              <w:numPr>
                <w:ilvl w:val="0"/>
                <w:numId w:val="1"/>
              </w:numPr>
              <w:tabs>
                <w:tab w:val="num" w:pos="284"/>
              </w:tabs>
              <w:jc w:val="both"/>
            </w:pPr>
            <w:proofErr w:type="spellStart"/>
            <w:r>
              <w:t>Suckale</w:t>
            </w:r>
            <w:proofErr w:type="spellEnd"/>
            <w:r>
              <w:t xml:space="preserve">, Robert (2005): </w:t>
            </w:r>
            <w:proofErr w:type="spellStart"/>
            <w:r>
              <w:t>Geschichte</w:t>
            </w:r>
            <w:proofErr w:type="spellEnd"/>
            <w:r>
              <w:t xml:space="preserve"> der </w:t>
            </w:r>
            <w:proofErr w:type="spellStart"/>
            <w:r>
              <w:t>Kunst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Deutschland</w:t>
            </w:r>
            <w:proofErr w:type="spellEnd"/>
            <w:r>
              <w:t xml:space="preserve">. Köln: </w:t>
            </w:r>
            <w:proofErr w:type="spellStart"/>
            <w:r>
              <w:t>DuMont</w:t>
            </w:r>
            <w:proofErr w:type="spellEnd"/>
            <w:r>
              <w:t xml:space="preserve"> </w:t>
            </w:r>
            <w:proofErr w:type="spellStart"/>
            <w:r>
              <w:t>Literatur</w:t>
            </w:r>
            <w:proofErr w:type="spellEnd"/>
            <w:r>
              <w:t xml:space="preserve"> und </w:t>
            </w:r>
            <w:proofErr w:type="spellStart"/>
            <w:r>
              <w:t>Kunst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>.</w:t>
            </w:r>
          </w:p>
          <w:p w:rsidR="00CA6143" w:rsidRDefault="00CA6143" w:rsidP="00CA6143">
            <w:pPr>
              <w:numPr>
                <w:ilvl w:val="0"/>
                <w:numId w:val="1"/>
              </w:numPr>
              <w:tabs>
                <w:tab w:val="num" w:pos="284"/>
              </w:tabs>
              <w:jc w:val="both"/>
            </w:pPr>
            <w:proofErr w:type="spellStart"/>
            <w:r>
              <w:t>Ruffing</w:t>
            </w:r>
            <w:proofErr w:type="spellEnd"/>
            <w:r>
              <w:t xml:space="preserve">, Reiner (2006): </w:t>
            </w:r>
            <w:proofErr w:type="spellStart"/>
            <w:r>
              <w:t>Einführung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die </w:t>
            </w:r>
            <w:proofErr w:type="spellStart"/>
            <w:r>
              <w:t>Geschichte</w:t>
            </w:r>
            <w:proofErr w:type="spellEnd"/>
            <w:r>
              <w:t xml:space="preserve"> der </w:t>
            </w:r>
            <w:proofErr w:type="spellStart"/>
            <w:r>
              <w:t>Philosophie</w:t>
            </w:r>
            <w:proofErr w:type="spellEnd"/>
            <w:r>
              <w:t xml:space="preserve">. Stuttgart: </w:t>
            </w:r>
            <w:proofErr w:type="spellStart"/>
            <w:r>
              <w:t>Uni-</w:t>
            </w:r>
            <w:proofErr w:type="spellEnd"/>
            <w:r>
              <w:t xml:space="preserve"> </w:t>
            </w:r>
            <w:proofErr w:type="spellStart"/>
            <w:r>
              <w:t>Taschenbücher</w:t>
            </w:r>
            <w:proofErr w:type="spellEnd"/>
            <w:r>
              <w:t xml:space="preserve"> GmbH.</w:t>
            </w:r>
          </w:p>
          <w:p w:rsidR="00CA6143" w:rsidRDefault="00CA6143" w:rsidP="00CA6143">
            <w:pPr>
              <w:numPr>
                <w:ilvl w:val="0"/>
                <w:numId w:val="1"/>
              </w:numPr>
              <w:tabs>
                <w:tab w:val="num" w:pos="284"/>
              </w:tabs>
              <w:jc w:val="both"/>
            </w:pPr>
            <w:proofErr w:type="spellStart"/>
            <w:r>
              <w:t>Pahlen</w:t>
            </w:r>
            <w:proofErr w:type="spellEnd"/>
            <w:r>
              <w:t xml:space="preserve">, Kurt – König, </w:t>
            </w:r>
            <w:proofErr w:type="spellStart"/>
            <w:r>
              <w:t>Rosmarie</w:t>
            </w:r>
            <w:proofErr w:type="spellEnd"/>
            <w:r>
              <w:t xml:space="preserve"> (2000): Die </w:t>
            </w:r>
            <w:proofErr w:type="spellStart"/>
            <w:r>
              <w:t>große</w:t>
            </w:r>
            <w:proofErr w:type="spellEnd"/>
            <w:r>
              <w:t xml:space="preserve"> </w:t>
            </w:r>
            <w:proofErr w:type="spellStart"/>
            <w:r>
              <w:t>Geschichte</w:t>
            </w:r>
            <w:proofErr w:type="spellEnd"/>
            <w:r>
              <w:t xml:space="preserve"> der </w:t>
            </w:r>
            <w:proofErr w:type="spellStart"/>
            <w:r>
              <w:t>Musik</w:t>
            </w:r>
            <w:proofErr w:type="spellEnd"/>
            <w:r>
              <w:t xml:space="preserve">. München: </w:t>
            </w:r>
            <w:proofErr w:type="spellStart"/>
            <w:r>
              <w:t>Cormoran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>.</w:t>
            </w:r>
          </w:p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CA6143" w:rsidRDefault="00CA6143" w:rsidP="00CA6143">
            <w:pPr>
              <w:numPr>
                <w:ilvl w:val="0"/>
                <w:numId w:val="1"/>
              </w:numPr>
              <w:tabs>
                <w:tab w:val="num" w:pos="284"/>
              </w:tabs>
              <w:jc w:val="both"/>
            </w:pPr>
            <w:proofErr w:type="spellStart"/>
            <w:r>
              <w:rPr>
                <w:bCs/>
              </w:rPr>
              <w:t>Liessmann</w:t>
            </w:r>
            <w:proofErr w:type="spellEnd"/>
            <w:r>
              <w:rPr>
                <w:bCs/>
              </w:rPr>
              <w:t xml:space="preserve">, Konrad Paul (2003): Die </w:t>
            </w:r>
            <w:proofErr w:type="spellStart"/>
            <w:r>
              <w:rPr>
                <w:bCs/>
              </w:rPr>
              <w:t>großen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Philosophen</w:t>
            </w:r>
            <w:proofErr w:type="spellEnd"/>
            <w:r>
              <w:rPr>
                <w:bCs/>
              </w:rPr>
              <w:t xml:space="preserve"> und </w:t>
            </w:r>
            <w:proofErr w:type="spellStart"/>
            <w:r>
              <w:rPr>
                <w:bCs/>
              </w:rPr>
              <w:t>ihre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Probleme</w:t>
            </w:r>
            <w:proofErr w:type="spellEnd"/>
            <w:r>
              <w:rPr>
                <w:bCs/>
              </w:rPr>
              <w:t xml:space="preserve">. Stuttgart: </w:t>
            </w:r>
            <w:proofErr w:type="spellStart"/>
            <w:r>
              <w:t>Uni-</w:t>
            </w:r>
            <w:proofErr w:type="spellEnd"/>
            <w:r>
              <w:t xml:space="preserve"> </w:t>
            </w:r>
            <w:proofErr w:type="spellStart"/>
            <w:r>
              <w:t>Taschenbücher</w:t>
            </w:r>
            <w:proofErr w:type="spellEnd"/>
            <w:r>
              <w:t>.</w:t>
            </w:r>
          </w:p>
          <w:p w:rsidR="00CA6143" w:rsidRDefault="00CA6143" w:rsidP="00CA6143">
            <w:pPr>
              <w:numPr>
                <w:ilvl w:val="0"/>
                <w:numId w:val="1"/>
              </w:numPr>
              <w:tabs>
                <w:tab w:val="num" w:pos="284"/>
              </w:tabs>
              <w:jc w:val="both"/>
            </w:pPr>
            <w:r>
              <w:t xml:space="preserve">Maurer, Michael (2008): </w:t>
            </w:r>
            <w:proofErr w:type="spellStart"/>
            <w:r>
              <w:rPr>
                <w:bCs/>
              </w:rPr>
              <w:t>Kulturgeschichte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Eine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Einführung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Böhlau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Uni-Taschenbücher</w:t>
            </w:r>
            <w:proofErr w:type="spellEnd"/>
            <w:r>
              <w:rPr>
                <w:bCs/>
              </w:rPr>
              <w:t>.</w:t>
            </w:r>
          </w:p>
          <w:p w:rsidR="00CA6143" w:rsidRDefault="00CA6143" w:rsidP="00CA6143">
            <w:pPr>
              <w:numPr>
                <w:ilvl w:val="0"/>
                <w:numId w:val="1"/>
              </w:numPr>
              <w:tabs>
                <w:tab w:val="num" w:pos="284"/>
              </w:tabs>
              <w:jc w:val="both"/>
            </w:pPr>
            <w:proofErr w:type="spellStart"/>
            <w:r>
              <w:t>Buchheim</w:t>
            </w:r>
            <w:proofErr w:type="spellEnd"/>
            <w:r>
              <w:t xml:space="preserve">, Karl (1998): </w:t>
            </w:r>
            <w:r>
              <w:rPr>
                <w:bCs/>
              </w:rPr>
              <w:t xml:space="preserve">Deutsche </w:t>
            </w:r>
            <w:proofErr w:type="spellStart"/>
            <w:r>
              <w:rPr>
                <w:bCs/>
              </w:rPr>
              <w:t>Kultur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zwischen</w:t>
            </w:r>
            <w:proofErr w:type="spellEnd"/>
            <w:r>
              <w:rPr>
                <w:bCs/>
              </w:rPr>
              <w:t xml:space="preserve"> 1830 und 1870. Essen: </w:t>
            </w:r>
            <w:proofErr w:type="spellStart"/>
            <w:r>
              <w:rPr>
                <w:bCs/>
              </w:rPr>
              <w:t>Phaidon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Velag</w:t>
            </w:r>
            <w:proofErr w:type="spellEnd"/>
            <w:r>
              <w:rPr>
                <w:bCs/>
              </w:rPr>
              <w:t>.</w:t>
            </w:r>
          </w:p>
          <w:p w:rsidR="00CA6143" w:rsidRDefault="00CA6143" w:rsidP="00CA6143">
            <w:pPr>
              <w:numPr>
                <w:ilvl w:val="0"/>
                <w:numId w:val="3"/>
              </w:numPr>
            </w:pPr>
            <w:r>
              <w:t xml:space="preserve">Szabó, Csaba (1999): </w:t>
            </w:r>
            <w:proofErr w:type="spellStart"/>
            <w:proofErr w:type="gramStart"/>
            <w:r>
              <w:t>Vor</w:t>
            </w:r>
            <w:proofErr w:type="spellEnd"/>
            <w:r>
              <w:t>(</w:t>
            </w:r>
            <w:proofErr w:type="gramEnd"/>
            <w:r>
              <w:t>-)</w:t>
            </w:r>
            <w:proofErr w:type="spellStart"/>
            <w:r>
              <w:t>über</w:t>
            </w:r>
            <w:proofErr w:type="spellEnd"/>
            <w:r>
              <w:t xml:space="preserve"> (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Buch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sprach</w:t>
            </w:r>
            <w:proofErr w:type="spellEnd"/>
            <w:r>
              <w:t xml:space="preserve"> </w:t>
            </w:r>
            <w:proofErr w:type="spellStart"/>
            <w:r>
              <w:t>Zarathustra</w:t>
            </w:r>
            <w:proofErr w:type="spellEnd"/>
            <w:r>
              <w:t xml:space="preserve">.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Bruchstück</w:t>
            </w:r>
            <w:proofErr w:type="spellEnd"/>
            <w:r>
              <w:t xml:space="preserve">) </w:t>
            </w:r>
            <w:proofErr w:type="spellStart"/>
            <w:r>
              <w:t>In</w:t>
            </w:r>
            <w:proofErr w:type="spellEnd"/>
            <w:r>
              <w:t xml:space="preserve">: </w:t>
            </w:r>
            <w:proofErr w:type="spellStart"/>
            <w:r>
              <w:t>Arbeiten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deutschen</w:t>
            </w:r>
            <w:proofErr w:type="spellEnd"/>
            <w:r>
              <w:t xml:space="preserve"> </w:t>
            </w:r>
            <w:proofErr w:type="spellStart"/>
            <w:r>
              <w:t>Philologie</w:t>
            </w:r>
            <w:proofErr w:type="spellEnd"/>
            <w:r>
              <w:t xml:space="preserve">, </w:t>
            </w:r>
            <w:proofErr w:type="spellStart"/>
            <w:r>
              <w:t>Bd</w:t>
            </w:r>
            <w:proofErr w:type="spellEnd"/>
            <w:r>
              <w:t xml:space="preserve">. XXIV, Nietzsche (hg. von T. </w:t>
            </w:r>
            <w:proofErr w:type="spellStart"/>
            <w:r>
              <w:t>Lichtmann</w:t>
            </w:r>
            <w:proofErr w:type="spellEnd"/>
            <w:r>
              <w:t>) Debrecen, 75-90.</w:t>
            </w:r>
          </w:p>
          <w:p w:rsidR="00CA6143" w:rsidRDefault="00CA6143" w:rsidP="00CA6143">
            <w:pPr>
              <w:numPr>
                <w:ilvl w:val="0"/>
                <w:numId w:val="3"/>
              </w:numPr>
              <w:ind w:right="-5"/>
            </w:pPr>
            <w:r>
              <w:t>Szabó, Csaba (2007): „</w:t>
            </w:r>
            <w:proofErr w:type="spellStart"/>
            <w:r>
              <w:t>Vor</w:t>
            </w:r>
            <w:proofErr w:type="spellEnd"/>
            <w:r>
              <w:t xml:space="preserve"> der </w:t>
            </w:r>
            <w:proofErr w:type="spellStart"/>
            <w:r>
              <w:t>Hand</w:t>
            </w:r>
            <w:proofErr w:type="spellEnd"/>
            <w:r>
              <w:t>” (</w:t>
            </w:r>
            <w:proofErr w:type="spellStart"/>
            <w:r>
              <w:t>Entwurf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einer</w:t>
            </w:r>
            <w:proofErr w:type="spellEnd"/>
            <w:r>
              <w:t xml:space="preserve"> </w:t>
            </w:r>
            <w:proofErr w:type="spellStart"/>
            <w:r>
              <w:t>längeren</w:t>
            </w:r>
            <w:proofErr w:type="spellEnd"/>
            <w:r>
              <w:t xml:space="preserve"> </w:t>
            </w:r>
            <w:proofErr w:type="spellStart"/>
            <w:r>
              <w:t>Fußnote</w:t>
            </w:r>
            <w:proofErr w:type="spellEnd"/>
            <w:r>
              <w:t xml:space="preserve"> </w:t>
            </w:r>
            <w:proofErr w:type="spellStart"/>
            <w:r>
              <w:t>über</w:t>
            </w:r>
            <w:proofErr w:type="spellEnd"/>
            <w:r>
              <w:t xml:space="preserve"> die </w:t>
            </w:r>
            <w:proofErr w:type="spellStart"/>
            <w:r>
              <w:t>Hand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>
              <w:t xml:space="preserve"> I. Kant) </w:t>
            </w:r>
            <w:proofErr w:type="spellStart"/>
            <w:r>
              <w:t>In</w:t>
            </w:r>
            <w:proofErr w:type="spellEnd"/>
            <w:r>
              <w:t xml:space="preserve">: </w:t>
            </w:r>
            <w:proofErr w:type="spellStart"/>
            <w:r>
              <w:t>Germanistische</w:t>
            </w:r>
            <w:proofErr w:type="spellEnd"/>
            <w:r>
              <w:t xml:space="preserve"> </w:t>
            </w:r>
            <w:proofErr w:type="spellStart"/>
            <w:r>
              <w:t>Studien</w:t>
            </w:r>
            <w:proofErr w:type="spellEnd"/>
            <w:r>
              <w:t xml:space="preserve"> </w:t>
            </w:r>
            <w:proofErr w:type="spellStart"/>
            <w:r>
              <w:t>Bd</w:t>
            </w:r>
            <w:proofErr w:type="spellEnd"/>
            <w:r>
              <w:t>. VI (</w:t>
            </w:r>
            <w:proofErr w:type="spellStart"/>
            <w:r>
              <w:t>Wissenschaftliche</w:t>
            </w:r>
            <w:proofErr w:type="spellEnd"/>
            <w:r>
              <w:t xml:space="preserve"> </w:t>
            </w:r>
            <w:proofErr w:type="spellStart"/>
            <w:r>
              <w:t>Beiträge</w:t>
            </w:r>
            <w:proofErr w:type="spellEnd"/>
            <w:r>
              <w:t xml:space="preserve"> der </w:t>
            </w:r>
            <w:proofErr w:type="spellStart"/>
            <w:r>
              <w:t>Károly-Eszterházy-Hochschule</w:t>
            </w:r>
            <w:proofErr w:type="spellEnd"/>
            <w:r>
              <w:t xml:space="preserve">), hg. von </w:t>
            </w:r>
            <w:proofErr w:type="gramStart"/>
            <w:r>
              <w:t>M.   Harsányi</w:t>
            </w:r>
            <w:proofErr w:type="gramEnd"/>
            <w:r>
              <w:t xml:space="preserve"> u. R. </w:t>
            </w:r>
            <w:proofErr w:type="spellStart"/>
            <w:r>
              <w:t>Kegelmann</w:t>
            </w:r>
            <w:proofErr w:type="spellEnd"/>
            <w:r>
              <w:t>, Eger, 173-184.</w:t>
            </w:r>
          </w:p>
          <w:p w:rsidR="00CA6143" w:rsidRDefault="00CA6143" w:rsidP="00CA6143">
            <w:pPr>
              <w:numPr>
                <w:ilvl w:val="0"/>
                <w:numId w:val="1"/>
              </w:numPr>
              <w:tabs>
                <w:tab w:val="num" w:pos="284"/>
              </w:tabs>
              <w:jc w:val="both"/>
              <w:rPr>
                <w:b/>
              </w:rPr>
            </w:pPr>
            <w:proofErr w:type="spellStart"/>
            <w:r>
              <w:lastRenderedPageBreak/>
              <w:t>Jeismann</w:t>
            </w:r>
            <w:proofErr w:type="spellEnd"/>
            <w:r>
              <w:t xml:space="preserve">, Karl-Ernst (1989): </w:t>
            </w:r>
            <w:proofErr w:type="spellStart"/>
            <w:r>
              <w:t>Bildung</w:t>
            </w:r>
            <w:proofErr w:type="spellEnd"/>
            <w:r>
              <w:t xml:space="preserve">, </w:t>
            </w:r>
            <w:proofErr w:type="spellStart"/>
            <w:r>
              <w:t>Staat</w:t>
            </w:r>
            <w:proofErr w:type="spellEnd"/>
            <w:r>
              <w:t xml:space="preserve">, </w:t>
            </w:r>
            <w:proofErr w:type="spellStart"/>
            <w:r>
              <w:t>Gesellschaft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19. </w:t>
            </w:r>
            <w:proofErr w:type="spellStart"/>
            <w:r>
              <w:t>Jahrhundert</w:t>
            </w:r>
            <w:proofErr w:type="spellEnd"/>
            <w:r>
              <w:t xml:space="preserve">: </w:t>
            </w:r>
            <w:proofErr w:type="spellStart"/>
            <w:r>
              <w:t>Mobilisierung</w:t>
            </w:r>
            <w:proofErr w:type="spellEnd"/>
            <w:r>
              <w:t xml:space="preserve"> und </w:t>
            </w:r>
            <w:proofErr w:type="spellStart"/>
            <w:r>
              <w:t>Disziplinierung</w:t>
            </w:r>
            <w:proofErr w:type="spellEnd"/>
            <w:r>
              <w:t xml:space="preserve">. Stuttgart: </w:t>
            </w:r>
            <w:proofErr w:type="spellStart"/>
            <w:r>
              <w:t>Steiner-Verlag</w:t>
            </w:r>
            <w:proofErr w:type="spellEnd"/>
            <w:r>
              <w:t>.</w:t>
            </w:r>
          </w:p>
        </w:tc>
      </w:tr>
      <w:tr w:rsidR="00CA6143" w:rsidTr="009132D8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Tantárgyfelelős: Dr. Szabó Csaba PhD, f. docens</w:t>
            </w:r>
          </w:p>
          <w:p w:rsidR="00CA6143" w:rsidRDefault="00CA6143" w:rsidP="009132D8">
            <w:pPr>
              <w:jc w:val="both"/>
              <w:rPr>
                <w:b/>
              </w:rPr>
            </w:pPr>
            <w:r>
              <w:rPr>
                <w:b/>
              </w:rPr>
              <w:t>Oktatók: Dr. Szabó Csaba, dr. Virág Irén</w:t>
            </w:r>
          </w:p>
        </w:tc>
      </w:tr>
    </w:tbl>
    <w:p w:rsidR="00532764" w:rsidRDefault="00532764">
      <w:bookmarkStart w:id="0" w:name="_GoBack"/>
      <w:bookmarkEnd w:id="0"/>
    </w:p>
    <w:sectPr w:rsidR="0053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2E1B"/>
    <w:multiLevelType w:val="hybridMultilevel"/>
    <w:tmpl w:val="E3C6A36C"/>
    <w:lvl w:ilvl="0" w:tplc="719CED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5759A5"/>
    <w:multiLevelType w:val="hybridMultilevel"/>
    <w:tmpl w:val="C7E67FD2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68"/>
    <w:rsid w:val="00532764"/>
    <w:rsid w:val="008E3268"/>
    <w:rsid w:val="00CA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3619</Characters>
  <Application>Microsoft Office Word</Application>
  <DocSecurity>0</DocSecurity>
  <Lines>30</Lines>
  <Paragraphs>8</Paragraphs>
  <ScaleCrop>false</ScaleCrop>
  <Company>EKF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2013-06-20T07:19:00Z</dcterms:created>
  <dcterms:modified xsi:type="dcterms:W3CDTF">2013-06-20T07:19:00Z</dcterms:modified>
</cp:coreProperties>
</file>