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1C" w:rsidRPr="00A879DD" w:rsidRDefault="00840C1C">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8"/>
        <w:gridCol w:w="2072"/>
      </w:tblGrid>
      <w:tr w:rsidR="00146588" w:rsidRPr="00A879DD" w:rsidTr="00E14ADB">
        <w:tc>
          <w:tcPr>
            <w:tcW w:w="7108" w:type="dxa"/>
            <w:tcMar>
              <w:top w:w="57" w:type="dxa"/>
              <w:bottom w:w="57" w:type="dxa"/>
            </w:tcMar>
          </w:tcPr>
          <w:p w:rsidR="00146588" w:rsidRPr="00146588" w:rsidRDefault="00146588" w:rsidP="00DB6159">
            <w:pPr>
              <w:spacing w:before="60"/>
              <w:jc w:val="both"/>
              <w:rPr>
                <w:sz w:val="24"/>
                <w:szCs w:val="24"/>
              </w:rPr>
            </w:pPr>
            <w:r w:rsidRPr="00A879DD">
              <w:rPr>
                <w:b/>
                <w:sz w:val="24"/>
                <w:szCs w:val="24"/>
              </w:rPr>
              <w:t xml:space="preserve">Tantárgy neve: </w:t>
            </w:r>
            <w:r w:rsidRPr="00A879DD">
              <w:rPr>
                <w:sz w:val="24"/>
                <w:szCs w:val="24"/>
              </w:rPr>
              <w:t>Kultúraközi kommunikáció II.</w:t>
            </w:r>
          </w:p>
        </w:tc>
        <w:tc>
          <w:tcPr>
            <w:tcW w:w="2072" w:type="dxa"/>
            <w:tcMar>
              <w:top w:w="57" w:type="dxa"/>
              <w:bottom w:w="57" w:type="dxa"/>
            </w:tcMar>
          </w:tcPr>
          <w:p w:rsidR="00146588" w:rsidRPr="00AB1102" w:rsidRDefault="00146588" w:rsidP="008836A3">
            <w:pPr>
              <w:spacing w:before="60"/>
              <w:jc w:val="both"/>
              <w:rPr>
                <w:sz w:val="24"/>
                <w:szCs w:val="24"/>
              </w:rPr>
            </w:pPr>
            <w:r w:rsidRPr="00A879DD">
              <w:rPr>
                <w:b/>
                <w:sz w:val="24"/>
                <w:szCs w:val="24"/>
              </w:rPr>
              <w:t xml:space="preserve">Kreditszáma: </w:t>
            </w:r>
            <w:r w:rsidR="00AB1102">
              <w:rPr>
                <w:sz w:val="24"/>
                <w:szCs w:val="24"/>
              </w:rPr>
              <w:t>3</w:t>
            </w:r>
          </w:p>
        </w:tc>
      </w:tr>
      <w:tr w:rsidR="00840C1C" w:rsidRPr="00A879DD" w:rsidTr="008836A3">
        <w:tc>
          <w:tcPr>
            <w:tcW w:w="9180" w:type="dxa"/>
            <w:gridSpan w:val="2"/>
          </w:tcPr>
          <w:p w:rsidR="00840C1C" w:rsidRPr="00A879DD" w:rsidRDefault="00840C1C" w:rsidP="00AB1102">
            <w:pPr>
              <w:spacing w:before="60"/>
              <w:jc w:val="both"/>
              <w:rPr>
                <w:sz w:val="24"/>
                <w:szCs w:val="24"/>
              </w:rPr>
            </w:pPr>
            <w:r w:rsidRPr="00AB1102">
              <w:rPr>
                <w:b/>
                <w:sz w:val="24"/>
                <w:szCs w:val="24"/>
              </w:rPr>
              <w:t>A tanóra típusa:</w:t>
            </w:r>
            <w:r w:rsidRPr="00A879DD">
              <w:rPr>
                <w:sz w:val="24"/>
                <w:szCs w:val="24"/>
              </w:rPr>
              <w:t xml:space="preserve"> előadás </w:t>
            </w:r>
            <w:r w:rsidR="00AB1102">
              <w:rPr>
                <w:b/>
                <w:sz w:val="24"/>
                <w:szCs w:val="24"/>
              </w:rPr>
              <w:t>heti óraszáma:</w:t>
            </w:r>
            <w:r w:rsidRPr="00A879DD">
              <w:rPr>
                <w:sz w:val="24"/>
                <w:szCs w:val="24"/>
              </w:rPr>
              <w:t xml:space="preserve"> </w:t>
            </w:r>
            <w:r w:rsidR="00AB1102">
              <w:rPr>
                <w:sz w:val="24"/>
                <w:szCs w:val="24"/>
              </w:rPr>
              <w:t>2</w:t>
            </w:r>
          </w:p>
        </w:tc>
      </w:tr>
      <w:tr w:rsidR="00840C1C" w:rsidRPr="00A879DD" w:rsidTr="008836A3">
        <w:tc>
          <w:tcPr>
            <w:tcW w:w="9180" w:type="dxa"/>
            <w:gridSpan w:val="2"/>
          </w:tcPr>
          <w:p w:rsidR="00840C1C" w:rsidRPr="00A879DD" w:rsidRDefault="00840C1C" w:rsidP="008836A3">
            <w:pPr>
              <w:spacing w:before="60"/>
              <w:jc w:val="both"/>
              <w:rPr>
                <w:b/>
                <w:sz w:val="24"/>
                <w:szCs w:val="24"/>
              </w:rPr>
            </w:pPr>
            <w:r w:rsidRPr="00AB1102">
              <w:rPr>
                <w:b/>
                <w:sz w:val="24"/>
                <w:szCs w:val="24"/>
              </w:rPr>
              <w:t>A számonkérés módja</w:t>
            </w:r>
            <w:r w:rsidR="00AB1102" w:rsidRPr="00AB1102">
              <w:rPr>
                <w:b/>
                <w:sz w:val="24"/>
                <w:szCs w:val="24"/>
              </w:rPr>
              <w:t>:</w:t>
            </w:r>
            <w:r w:rsidRPr="00A879DD">
              <w:rPr>
                <w:sz w:val="24"/>
                <w:szCs w:val="24"/>
              </w:rPr>
              <w:t xml:space="preserve"> kollokvium</w:t>
            </w:r>
          </w:p>
        </w:tc>
      </w:tr>
      <w:tr w:rsidR="00840C1C" w:rsidRPr="00A879DD" w:rsidTr="008836A3">
        <w:tc>
          <w:tcPr>
            <w:tcW w:w="9180" w:type="dxa"/>
            <w:gridSpan w:val="2"/>
          </w:tcPr>
          <w:p w:rsidR="00840C1C" w:rsidRPr="00A879DD" w:rsidRDefault="00840C1C" w:rsidP="008836A3">
            <w:pPr>
              <w:jc w:val="both"/>
              <w:rPr>
                <w:sz w:val="24"/>
                <w:szCs w:val="24"/>
              </w:rPr>
            </w:pPr>
            <w:r w:rsidRPr="00AB1102">
              <w:rPr>
                <w:b/>
                <w:sz w:val="24"/>
                <w:szCs w:val="24"/>
              </w:rPr>
              <w:t>A tantárgy tantervi helye:</w:t>
            </w:r>
            <w:r w:rsidRPr="00A879DD">
              <w:rPr>
                <w:sz w:val="24"/>
                <w:szCs w:val="24"/>
              </w:rPr>
              <w:t xml:space="preserve"> </w:t>
            </w:r>
            <w:r w:rsidR="00AB1102">
              <w:rPr>
                <w:sz w:val="24"/>
                <w:szCs w:val="24"/>
              </w:rPr>
              <w:t>3. félév</w:t>
            </w:r>
          </w:p>
        </w:tc>
      </w:tr>
      <w:tr w:rsidR="00840C1C" w:rsidRPr="00A879DD" w:rsidTr="008836A3">
        <w:tc>
          <w:tcPr>
            <w:tcW w:w="9180" w:type="dxa"/>
            <w:gridSpan w:val="2"/>
          </w:tcPr>
          <w:p w:rsidR="00840C1C" w:rsidRPr="00A879DD" w:rsidRDefault="00AB1102" w:rsidP="008836A3">
            <w:pPr>
              <w:jc w:val="both"/>
              <w:rPr>
                <w:sz w:val="24"/>
                <w:szCs w:val="24"/>
              </w:rPr>
            </w:pPr>
            <w:r w:rsidRPr="00AB1102">
              <w:rPr>
                <w:b/>
                <w:sz w:val="24"/>
                <w:szCs w:val="24"/>
              </w:rPr>
              <w:t>Előtanulmányi feltételek:</w:t>
            </w:r>
            <w:r>
              <w:rPr>
                <w:sz w:val="24"/>
                <w:szCs w:val="24"/>
              </w:rPr>
              <w:t xml:space="preserve"> –</w:t>
            </w:r>
          </w:p>
        </w:tc>
      </w:tr>
      <w:tr w:rsidR="00840C1C" w:rsidRPr="00A879DD" w:rsidTr="008836A3">
        <w:tc>
          <w:tcPr>
            <w:tcW w:w="9180" w:type="dxa"/>
            <w:gridSpan w:val="2"/>
            <w:tcBorders>
              <w:bottom w:val="dotted" w:sz="4" w:space="0" w:color="auto"/>
            </w:tcBorders>
          </w:tcPr>
          <w:p w:rsidR="00AB1102" w:rsidRDefault="00840C1C" w:rsidP="00E14ADB">
            <w:pPr>
              <w:spacing w:before="60" w:after="60"/>
              <w:jc w:val="both"/>
              <w:rPr>
                <w:sz w:val="24"/>
                <w:szCs w:val="24"/>
              </w:rPr>
            </w:pPr>
            <w:r w:rsidRPr="00E14ADB">
              <w:rPr>
                <w:rFonts w:eastAsia="Times New Roman"/>
                <w:b/>
                <w:sz w:val="24"/>
                <w:szCs w:val="24"/>
              </w:rPr>
              <w:t>Tantárgyleírás</w:t>
            </w:r>
            <w:r w:rsidRPr="00A879DD">
              <w:rPr>
                <w:sz w:val="24"/>
                <w:szCs w:val="24"/>
              </w:rPr>
              <w:t xml:space="preserve">: </w:t>
            </w:r>
          </w:p>
          <w:p w:rsidR="00840C1C" w:rsidRPr="00A879DD" w:rsidRDefault="00DB6159" w:rsidP="008836A3">
            <w:pPr>
              <w:spacing w:before="60"/>
              <w:jc w:val="both"/>
              <w:rPr>
                <w:sz w:val="24"/>
                <w:szCs w:val="24"/>
              </w:rPr>
            </w:pPr>
            <w:r w:rsidRPr="00A879DD">
              <w:rPr>
                <w:sz w:val="24"/>
                <w:szCs w:val="24"/>
              </w:rPr>
              <w:t>A kurzus a kultúraközi kommunikáció I-ben tárgyalt, nagy kulturális és térbeli távolságok után az egymás mellett, egymással interakcióban élő kultúrák kommunikációjáról szól. Bemutatja az ilyen, komplex helyzetek elemzésére kidolgozott alapvető fogalmakat, majd esettanulmányok és napi tapasztalatok példáin gyakoroljuk be azok használatát.</w:t>
            </w:r>
          </w:p>
          <w:p w:rsidR="00A879DD" w:rsidRPr="00A879DD" w:rsidRDefault="00A879DD" w:rsidP="008836A3">
            <w:pPr>
              <w:spacing w:before="60"/>
              <w:jc w:val="both"/>
              <w:rPr>
                <w:b/>
                <w:sz w:val="24"/>
                <w:szCs w:val="24"/>
              </w:rPr>
            </w:pPr>
          </w:p>
        </w:tc>
      </w:tr>
      <w:tr w:rsidR="00840C1C" w:rsidRPr="00A879DD" w:rsidTr="008836A3">
        <w:tc>
          <w:tcPr>
            <w:tcW w:w="9180" w:type="dxa"/>
            <w:gridSpan w:val="2"/>
            <w:tcBorders>
              <w:bottom w:val="dotted" w:sz="4" w:space="0" w:color="auto"/>
            </w:tcBorders>
          </w:tcPr>
          <w:p w:rsidR="00AB1102" w:rsidRPr="00E14ADB" w:rsidRDefault="00AB1102" w:rsidP="00E14ADB">
            <w:pPr>
              <w:spacing w:before="60" w:after="60"/>
              <w:jc w:val="both"/>
              <w:rPr>
                <w:rFonts w:eastAsia="Times New Roman"/>
                <w:b/>
                <w:sz w:val="24"/>
                <w:szCs w:val="24"/>
              </w:rPr>
            </w:pPr>
            <w:r w:rsidRPr="00E14ADB">
              <w:rPr>
                <w:rFonts w:eastAsia="Times New Roman"/>
                <w:b/>
                <w:sz w:val="24"/>
                <w:szCs w:val="24"/>
              </w:rPr>
              <w:t>Kötelező irodalom:</w:t>
            </w:r>
          </w:p>
          <w:p w:rsidR="00011DDE" w:rsidRPr="00A879DD" w:rsidRDefault="00011DDE" w:rsidP="00E14ADB">
            <w:pPr>
              <w:pStyle w:val="Szvegtrzs"/>
              <w:ind w:left="318" w:hanging="318"/>
              <w:rPr>
                <w:b w:val="0"/>
                <w:sz w:val="24"/>
                <w:szCs w:val="24"/>
              </w:rPr>
            </w:pPr>
            <w:r w:rsidRPr="00A879DD">
              <w:rPr>
                <w:b w:val="0"/>
                <w:sz w:val="24"/>
                <w:szCs w:val="24"/>
              </w:rPr>
              <w:t xml:space="preserve">Pierre </w:t>
            </w:r>
            <w:proofErr w:type="spellStart"/>
            <w:r w:rsidRPr="00A879DD">
              <w:rPr>
                <w:b w:val="0"/>
                <w:sz w:val="24"/>
                <w:szCs w:val="24"/>
              </w:rPr>
              <w:t>Bourdieu</w:t>
            </w:r>
            <w:proofErr w:type="spellEnd"/>
            <w:r w:rsidRPr="00A879DD">
              <w:rPr>
                <w:b w:val="0"/>
                <w:sz w:val="24"/>
                <w:szCs w:val="24"/>
              </w:rPr>
              <w:t xml:space="preserve">: Különbségek és megkülönböztetések, </w:t>
            </w:r>
            <w:proofErr w:type="spellStart"/>
            <w:r w:rsidRPr="00A879DD">
              <w:rPr>
                <w:b w:val="0"/>
                <w:sz w:val="24"/>
                <w:szCs w:val="24"/>
              </w:rPr>
              <w:t>in</w:t>
            </w:r>
            <w:proofErr w:type="spellEnd"/>
            <w:r w:rsidRPr="00A879DD">
              <w:rPr>
                <w:b w:val="0"/>
                <w:sz w:val="24"/>
                <w:szCs w:val="24"/>
              </w:rPr>
              <w:t xml:space="preserve"> </w:t>
            </w:r>
            <w:proofErr w:type="gramStart"/>
            <w:r w:rsidRPr="00A879DD">
              <w:rPr>
                <w:b w:val="0"/>
                <w:sz w:val="24"/>
                <w:szCs w:val="24"/>
              </w:rPr>
              <w:t>A</w:t>
            </w:r>
            <w:proofErr w:type="gramEnd"/>
            <w:r w:rsidRPr="00A879DD">
              <w:rPr>
                <w:b w:val="0"/>
                <w:sz w:val="24"/>
                <w:szCs w:val="24"/>
              </w:rPr>
              <w:t xml:space="preserve"> társadalmi egyenlőtlenségek újratermelődése, Gondolat, Budapest, 1978, 136-150.</w:t>
            </w:r>
          </w:p>
          <w:p w:rsidR="00011DDE" w:rsidRPr="00A879DD" w:rsidRDefault="00011DDE" w:rsidP="00E14ADB">
            <w:pPr>
              <w:ind w:left="318" w:hanging="318"/>
              <w:rPr>
                <w:sz w:val="24"/>
                <w:szCs w:val="24"/>
              </w:rPr>
            </w:pPr>
            <w:proofErr w:type="spellStart"/>
            <w:r w:rsidRPr="00A879DD">
              <w:rPr>
                <w:sz w:val="24"/>
                <w:szCs w:val="24"/>
              </w:rPr>
              <w:t>Akhil</w:t>
            </w:r>
            <w:proofErr w:type="spellEnd"/>
            <w:r w:rsidRPr="00A879DD">
              <w:rPr>
                <w:sz w:val="24"/>
                <w:szCs w:val="24"/>
              </w:rPr>
              <w:t xml:space="preserve"> </w:t>
            </w:r>
            <w:proofErr w:type="spellStart"/>
            <w:r w:rsidRPr="00942C14">
              <w:rPr>
                <w:rFonts w:eastAsia="Times New Roman"/>
                <w:sz w:val="24"/>
                <w:szCs w:val="24"/>
              </w:rPr>
              <w:t>Gupta</w:t>
            </w:r>
            <w:proofErr w:type="spellEnd"/>
            <w:r w:rsidRPr="00942C14">
              <w:rPr>
                <w:rFonts w:eastAsia="Times New Roman"/>
                <w:sz w:val="24"/>
                <w:szCs w:val="24"/>
              </w:rPr>
              <w:t>;</w:t>
            </w:r>
            <w:r w:rsidRPr="00A879DD">
              <w:rPr>
                <w:sz w:val="24"/>
                <w:szCs w:val="24"/>
              </w:rPr>
              <w:t xml:space="preserve"> James </w:t>
            </w:r>
            <w:proofErr w:type="spellStart"/>
            <w:r w:rsidRPr="00A879DD">
              <w:rPr>
                <w:sz w:val="24"/>
                <w:szCs w:val="24"/>
              </w:rPr>
              <w:t>Ferguson</w:t>
            </w:r>
            <w:proofErr w:type="spellEnd"/>
            <w:r w:rsidRPr="00A879DD">
              <w:rPr>
                <w:sz w:val="24"/>
                <w:szCs w:val="24"/>
              </w:rPr>
              <w:t xml:space="preserve">: </w:t>
            </w:r>
            <w:proofErr w:type="spellStart"/>
            <w:r w:rsidRPr="00A879DD">
              <w:rPr>
                <w:bCs/>
                <w:sz w:val="24"/>
                <w:szCs w:val="24"/>
              </w:rPr>
              <w:t>Beyond</w:t>
            </w:r>
            <w:proofErr w:type="spellEnd"/>
            <w:r w:rsidRPr="00A879DD">
              <w:rPr>
                <w:bCs/>
                <w:sz w:val="24"/>
                <w:szCs w:val="24"/>
              </w:rPr>
              <w:t xml:space="preserve"> "</w:t>
            </w:r>
            <w:proofErr w:type="spellStart"/>
            <w:r w:rsidRPr="00A879DD">
              <w:rPr>
                <w:bCs/>
                <w:sz w:val="24"/>
                <w:szCs w:val="24"/>
              </w:rPr>
              <w:t>Culture</w:t>
            </w:r>
            <w:proofErr w:type="spellEnd"/>
            <w:r w:rsidRPr="00A879DD">
              <w:rPr>
                <w:bCs/>
                <w:sz w:val="24"/>
                <w:szCs w:val="24"/>
              </w:rPr>
              <w:t xml:space="preserve">": </w:t>
            </w:r>
            <w:proofErr w:type="spellStart"/>
            <w:r w:rsidRPr="00A879DD">
              <w:rPr>
                <w:bCs/>
                <w:sz w:val="24"/>
                <w:szCs w:val="24"/>
              </w:rPr>
              <w:t>Space</w:t>
            </w:r>
            <w:proofErr w:type="spellEnd"/>
            <w:r w:rsidRPr="00A879DD">
              <w:rPr>
                <w:bCs/>
                <w:sz w:val="24"/>
                <w:szCs w:val="24"/>
              </w:rPr>
              <w:t xml:space="preserve">, </w:t>
            </w:r>
            <w:proofErr w:type="spellStart"/>
            <w:r w:rsidRPr="00A879DD">
              <w:rPr>
                <w:bCs/>
                <w:sz w:val="24"/>
                <w:szCs w:val="24"/>
              </w:rPr>
              <w:t>Identity</w:t>
            </w:r>
            <w:proofErr w:type="spellEnd"/>
            <w:r w:rsidRPr="00A879DD">
              <w:rPr>
                <w:bCs/>
                <w:sz w:val="24"/>
                <w:szCs w:val="24"/>
              </w:rPr>
              <w:t xml:space="preserve">, and </w:t>
            </w:r>
            <w:proofErr w:type="spellStart"/>
            <w:r w:rsidRPr="00A879DD">
              <w:rPr>
                <w:bCs/>
                <w:sz w:val="24"/>
                <w:szCs w:val="24"/>
              </w:rPr>
              <w:t>the</w:t>
            </w:r>
            <w:proofErr w:type="spellEnd"/>
            <w:r w:rsidRPr="00A879DD">
              <w:rPr>
                <w:bCs/>
                <w:sz w:val="24"/>
                <w:szCs w:val="24"/>
              </w:rPr>
              <w:t xml:space="preserve"> </w:t>
            </w:r>
            <w:proofErr w:type="spellStart"/>
            <w:r w:rsidRPr="00A879DD">
              <w:rPr>
                <w:bCs/>
                <w:sz w:val="24"/>
                <w:szCs w:val="24"/>
              </w:rPr>
              <w:t>Politics</w:t>
            </w:r>
            <w:proofErr w:type="spellEnd"/>
            <w:r w:rsidRPr="00A879DD">
              <w:rPr>
                <w:bCs/>
                <w:sz w:val="24"/>
                <w:szCs w:val="24"/>
              </w:rPr>
              <w:t xml:space="preserve"> of </w:t>
            </w:r>
            <w:proofErr w:type="spellStart"/>
            <w:r w:rsidRPr="00A879DD">
              <w:rPr>
                <w:bCs/>
                <w:sz w:val="24"/>
                <w:szCs w:val="24"/>
              </w:rPr>
              <w:t>Difference</w:t>
            </w:r>
            <w:proofErr w:type="spellEnd"/>
          </w:p>
          <w:p w:rsidR="00011DDE" w:rsidRPr="00A879DD" w:rsidRDefault="00011DDE" w:rsidP="00E14ADB">
            <w:pPr>
              <w:ind w:left="318" w:hanging="318"/>
              <w:rPr>
                <w:sz w:val="24"/>
                <w:szCs w:val="24"/>
              </w:rPr>
            </w:pPr>
            <w:proofErr w:type="spellStart"/>
            <w:r w:rsidRPr="00A879DD">
              <w:rPr>
                <w:i/>
                <w:iCs/>
                <w:sz w:val="24"/>
                <w:szCs w:val="24"/>
              </w:rPr>
              <w:t>Cultural</w:t>
            </w:r>
            <w:proofErr w:type="spellEnd"/>
            <w:r w:rsidRPr="00A879DD">
              <w:rPr>
                <w:i/>
                <w:iCs/>
                <w:sz w:val="24"/>
                <w:szCs w:val="24"/>
              </w:rPr>
              <w:t xml:space="preserve"> </w:t>
            </w:r>
            <w:proofErr w:type="spellStart"/>
            <w:r w:rsidRPr="00A879DD">
              <w:rPr>
                <w:i/>
                <w:iCs/>
                <w:sz w:val="24"/>
                <w:szCs w:val="24"/>
              </w:rPr>
              <w:t>Anthropology</w:t>
            </w:r>
            <w:proofErr w:type="spellEnd"/>
            <w:r w:rsidRPr="00A879DD">
              <w:rPr>
                <w:sz w:val="24"/>
                <w:szCs w:val="24"/>
              </w:rPr>
              <w:t xml:space="preserve">, </w:t>
            </w:r>
            <w:proofErr w:type="spellStart"/>
            <w:r w:rsidRPr="00A879DD">
              <w:rPr>
                <w:sz w:val="24"/>
                <w:szCs w:val="24"/>
              </w:rPr>
              <w:t>Vol</w:t>
            </w:r>
            <w:proofErr w:type="spellEnd"/>
            <w:r w:rsidRPr="00A879DD">
              <w:rPr>
                <w:sz w:val="24"/>
                <w:szCs w:val="24"/>
              </w:rPr>
              <w:t xml:space="preserve">. 7, No. 1, </w:t>
            </w:r>
            <w:proofErr w:type="spellStart"/>
            <w:r w:rsidRPr="00A879DD">
              <w:rPr>
                <w:sz w:val="24"/>
                <w:szCs w:val="24"/>
              </w:rPr>
              <w:t>Space</w:t>
            </w:r>
            <w:proofErr w:type="spellEnd"/>
            <w:r w:rsidRPr="00A879DD">
              <w:rPr>
                <w:sz w:val="24"/>
                <w:szCs w:val="24"/>
              </w:rPr>
              <w:t xml:space="preserve">, </w:t>
            </w:r>
            <w:proofErr w:type="spellStart"/>
            <w:r w:rsidRPr="00A879DD">
              <w:rPr>
                <w:sz w:val="24"/>
                <w:szCs w:val="24"/>
              </w:rPr>
              <w:t>Identity</w:t>
            </w:r>
            <w:proofErr w:type="spellEnd"/>
            <w:r w:rsidRPr="00A879DD">
              <w:rPr>
                <w:sz w:val="24"/>
                <w:szCs w:val="24"/>
              </w:rPr>
              <w:t xml:space="preserve">, and </w:t>
            </w:r>
            <w:proofErr w:type="spellStart"/>
            <w:r w:rsidRPr="00A879DD">
              <w:rPr>
                <w:sz w:val="24"/>
                <w:szCs w:val="24"/>
              </w:rPr>
              <w:t>the</w:t>
            </w:r>
            <w:proofErr w:type="spellEnd"/>
            <w:r w:rsidRPr="00A879DD">
              <w:rPr>
                <w:sz w:val="24"/>
                <w:szCs w:val="24"/>
              </w:rPr>
              <w:t xml:space="preserve"> </w:t>
            </w:r>
            <w:proofErr w:type="spellStart"/>
            <w:r w:rsidRPr="00A879DD">
              <w:rPr>
                <w:sz w:val="24"/>
                <w:szCs w:val="24"/>
              </w:rPr>
              <w:t>Politics</w:t>
            </w:r>
            <w:proofErr w:type="spellEnd"/>
            <w:r w:rsidRPr="00A879DD">
              <w:rPr>
                <w:sz w:val="24"/>
                <w:szCs w:val="24"/>
              </w:rPr>
              <w:t xml:space="preserve"> of </w:t>
            </w:r>
            <w:proofErr w:type="spellStart"/>
            <w:r w:rsidRPr="00A879DD">
              <w:rPr>
                <w:sz w:val="24"/>
                <w:szCs w:val="24"/>
              </w:rPr>
              <w:t>Difference</w:t>
            </w:r>
            <w:proofErr w:type="spellEnd"/>
            <w:r w:rsidRPr="00A879DD">
              <w:rPr>
                <w:sz w:val="24"/>
                <w:szCs w:val="24"/>
              </w:rPr>
              <w:t>. (</w:t>
            </w:r>
            <w:proofErr w:type="spellStart"/>
            <w:r w:rsidRPr="00A879DD">
              <w:rPr>
                <w:sz w:val="24"/>
                <w:szCs w:val="24"/>
              </w:rPr>
              <w:t>Feb</w:t>
            </w:r>
            <w:proofErr w:type="spellEnd"/>
            <w:proofErr w:type="gramStart"/>
            <w:r w:rsidRPr="00A879DD">
              <w:rPr>
                <w:sz w:val="24"/>
                <w:szCs w:val="24"/>
              </w:rPr>
              <w:t>.,</w:t>
            </w:r>
            <w:proofErr w:type="gramEnd"/>
            <w:r w:rsidRPr="00A879DD">
              <w:rPr>
                <w:sz w:val="24"/>
                <w:szCs w:val="24"/>
              </w:rPr>
              <w:t xml:space="preserve"> 1992),</w:t>
            </w:r>
          </w:p>
          <w:p w:rsidR="00011DDE" w:rsidRPr="00A879DD" w:rsidRDefault="00011DDE" w:rsidP="00E14ADB">
            <w:pPr>
              <w:ind w:left="318" w:hanging="318"/>
              <w:rPr>
                <w:sz w:val="24"/>
                <w:szCs w:val="24"/>
              </w:rPr>
            </w:pPr>
            <w:r w:rsidRPr="00A879DD">
              <w:rPr>
                <w:sz w:val="24"/>
                <w:szCs w:val="24"/>
              </w:rPr>
              <w:t>pp. 6-23.</w:t>
            </w:r>
          </w:p>
          <w:p w:rsidR="00840C1C" w:rsidRPr="00A879DD" w:rsidRDefault="008836A3" w:rsidP="00E14ADB">
            <w:pPr>
              <w:ind w:left="318" w:hanging="318"/>
              <w:jc w:val="both"/>
              <w:rPr>
                <w:sz w:val="24"/>
                <w:szCs w:val="24"/>
              </w:rPr>
            </w:pPr>
            <w:proofErr w:type="spellStart"/>
            <w:r w:rsidRPr="00A879DD">
              <w:rPr>
                <w:sz w:val="24"/>
                <w:szCs w:val="24"/>
              </w:rPr>
              <w:t>Loic</w:t>
            </w:r>
            <w:proofErr w:type="spellEnd"/>
            <w:r w:rsidRPr="00A879DD">
              <w:rPr>
                <w:sz w:val="24"/>
                <w:szCs w:val="24"/>
              </w:rPr>
              <w:t xml:space="preserve"> </w:t>
            </w:r>
            <w:proofErr w:type="spellStart"/>
            <w:r w:rsidRPr="00A879DD">
              <w:rPr>
                <w:sz w:val="24"/>
                <w:szCs w:val="24"/>
              </w:rPr>
              <w:t>Wacquant</w:t>
            </w:r>
            <w:proofErr w:type="spellEnd"/>
            <w:r w:rsidRPr="00A879DD">
              <w:rPr>
                <w:sz w:val="24"/>
                <w:szCs w:val="24"/>
              </w:rPr>
              <w:t xml:space="preserve">: </w:t>
            </w:r>
            <w:proofErr w:type="gramStart"/>
            <w:r w:rsidRPr="00A879DD">
              <w:rPr>
                <w:sz w:val="24"/>
                <w:szCs w:val="24"/>
              </w:rPr>
              <w:t>A  nyomor</w:t>
            </w:r>
            <w:proofErr w:type="gramEnd"/>
            <w:r w:rsidRPr="00A879DD">
              <w:rPr>
                <w:sz w:val="24"/>
                <w:szCs w:val="24"/>
              </w:rPr>
              <w:t xml:space="preserve"> börtönei, Helikon, Budapest, 2001</w:t>
            </w:r>
          </w:p>
          <w:p w:rsidR="00A879DD" w:rsidRPr="00A879DD" w:rsidRDefault="00A879DD" w:rsidP="008836A3">
            <w:pPr>
              <w:jc w:val="both"/>
              <w:rPr>
                <w:b/>
                <w:sz w:val="24"/>
                <w:szCs w:val="24"/>
              </w:rPr>
            </w:pPr>
          </w:p>
        </w:tc>
      </w:tr>
      <w:tr w:rsidR="00A879DD" w:rsidRPr="00A879DD" w:rsidTr="00E14ADB">
        <w:trPr>
          <w:trHeight w:val="338"/>
        </w:trPr>
        <w:tc>
          <w:tcPr>
            <w:tcW w:w="9180" w:type="dxa"/>
            <w:gridSpan w:val="2"/>
          </w:tcPr>
          <w:p w:rsidR="00A879DD" w:rsidRPr="00A879DD" w:rsidRDefault="00A879DD" w:rsidP="00E14ADB">
            <w:pPr>
              <w:spacing w:before="60" w:after="60"/>
              <w:jc w:val="both"/>
              <w:rPr>
                <w:b/>
                <w:sz w:val="24"/>
                <w:szCs w:val="24"/>
              </w:rPr>
            </w:pPr>
            <w:r w:rsidRPr="00A879DD">
              <w:rPr>
                <w:rFonts w:eastAsia="Times New Roman"/>
                <w:b/>
                <w:sz w:val="24"/>
                <w:szCs w:val="24"/>
              </w:rPr>
              <w:t>Tantárgy</w:t>
            </w:r>
            <w:r w:rsidRPr="00A879DD">
              <w:rPr>
                <w:b/>
                <w:sz w:val="24"/>
                <w:szCs w:val="24"/>
              </w:rPr>
              <w:t xml:space="preserve"> felelőse: </w:t>
            </w:r>
            <w:r w:rsidRPr="00A879DD">
              <w:rPr>
                <w:sz w:val="24"/>
                <w:szCs w:val="24"/>
              </w:rPr>
              <w:t>Dr. Gagyi Ágnes egyetemi adjunktus</w:t>
            </w:r>
          </w:p>
        </w:tc>
      </w:tr>
      <w:tr w:rsidR="00A879DD" w:rsidRPr="00A879DD" w:rsidTr="00E14ADB">
        <w:trPr>
          <w:trHeight w:val="337"/>
        </w:trPr>
        <w:tc>
          <w:tcPr>
            <w:tcW w:w="9180" w:type="dxa"/>
            <w:gridSpan w:val="2"/>
          </w:tcPr>
          <w:p w:rsidR="00A879DD" w:rsidRPr="00A879DD" w:rsidRDefault="00A879DD" w:rsidP="00E14ADB">
            <w:pPr>
              <w:spacing w:before="60" w:after="60"/>
              <w:jc w:val="both"/>
              <w:rPr>
                <w:b/>
                <w:sz w:val="24"/>
                <w:szCs w:val="24"/>
              </w:rPr>
            </w:pPr>
            <w:r w:rsidRPr="00A879DD">
              <w:rPr>
                <w:rFonts w:eastAsia="Times New Roman"/>
                <w:b/>
                <w:sz w:val="24"/>
                <w:szCs w:val="24"/>
              </w:rPr>
              <w:t>Tantárgy</w:t>
            </w:r>
            <w:r w:rsidRPr="00A879DD">
              <w:rPr>
                <w:b/>
                <w:sz w:val="24"/>
                <w:szCs w:val="24"/>
              </w:rPr>
              <w:t xml:space="preserve"> oktatásába bevont </w:t>
            </w:r>
            <w:proofErr w:type="gramStart"/>
            <w:r w:rsidRPr="00A879DD">
              <w:rPr>
                <w:b/>
                <w:sz w:val="24"/>
                <w:szCs w:val="24"/>
              </w:rPr>
              <w:t>oktató(</w:t>
            </w:r>
            <w:proofErr w:type="gramEnd"/>
            <w:r w:rsidRPr="00A879DD">
              <w:rPr>
                <w:b/>
                <w:sz w:val="24"/>
                <w:szCs w:val="24"/>
              </w:rPr>
              <w:t xml:space="preserve">k): </w:t>
            </w:r>
            <w:r w:rsidRPr="00A879DD">
              <w:rPr>
                <w:sz w:val="24"/>
                <w:szCs w:val="24"/>
              </w:rPr>
              <w:t>Dr. Gagyi Ágnes egyetemi adjunktus</w:t>
            </w:r>
          </w:p>
        </w:tc>
      </w:tr>
    </w:tbl>
    <w:p w:rsidR="00840C1C" w:rsidRPr="00A879DD" w:rsidRDefault="00840C1C">
      <w:pPr>
        <w:rPr>
          <w:sz w:val="24"/>
          <w:szCs w:val="24"/>
        </w:rPr>
      </w:pPr>
    </w:p>
    <w:sectPr w:rsidR="00840C1C" w:rsidRPr="00A879DD" w:rsidSect="002B79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840C1C"/>
    <w:rsid w:val="00011DDE"/>
    <w:rsid w:val="00146588"/>
    <w:rsid w:val="001F2D74"/>
    <w:rsid w:val="002B79AA"/>
    <w:rsid w:val="00681743"/>
    <w:rsid w:val="00840C1C"/>
    <w:rsid w:val="008836A3"/>
    <w:rsid w:val="008F0781"/>
    <w:rsid w:val="00942C14"/>
    <w:rsid w:val="009D2E86"/>
    <w:rsid w:val="00A13252"/>
    <w:rsid w:val="00A879DD"/>
    <w:rsid w:val="00AB1102"/>
    <w:rsid w:val="00DB6159"/>
    <w:rsid w:val="00E14ADB"/>
    <w:rsid w:val="00E609D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40C1C"/>
    <w:rPr>
      <w:rFonts w:eastAsia="Calibri"/>
    </w:rPr>
  </w:style>
  <w:style w:type="paragraph" w:styleId="Cmsor1">
    <w:name w:val="heading 1"/>
    <w:basedOn w:val="Norml"/>
    <w:next w:val="Norml"/>
    <w:qFormat/>
    <w:rsid w:val="00840C1C"/>
    <w:pPr>
      <w:keepNext/>
      <w:outlineLvl w:val="0"/>
    </w:pPr>
    <w:rPr>
      <w:rFonts w:eastAsia="Times New Roman"/>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11DDE"/>
    <w:rPr>
      <w:rFonts w:eastAsia="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975</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Tantárgy neve: Kultúraközi kommunikáció I</vt:lpstr>
    </vt:vector>
  </TitlesOfParts>
  <Company>Pro Régió Kht.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neve: Kultúraközi kommunikáció I</dc:title>
  <dc:subject/>
  <dc:creator>HP</dc:creator>
  <cp:keywords/>
  <dc:description/>
  <cp:lastModifiedBy>EKF</cp:lastModifiedBy>
  <cp:revision>3</cp:revision>
  <dcterms:created xsi:type="dcterms:W3CDTF">2012-09-28T07:09:00Z</dcterms:created>
  <dcterms:modified xsi:type="dcterms:W3CDTF">2013-07-08T12:02:00Z</dcterms:modified>
</cp:coreProperties>
</file>