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5"/>
        <w:gridCol w:w="2072"/>
      </w:tblGrid>
      <w:tr w:rsidR="00B96BAA" w:rsidRPr="00A35237" w:rsidTr="00D977E4">
        <w:tc>
          <w:tcPr>
            <w:tcW w:w="7105" w:type="dxa"/>
            <w:tcBorders>
              <w:top w:val="single" w:sz="4" w:space="0" w:color="auto"/>
              <w:left w:val="single" w:sz="4" w:space="0" w:color="auto"/>
              <w:bottom w:val="single" w:sz="4" w:space="0" w:color="auto"/>
              <w:right w:val="single" w:sz="4" w:space="0" w:color="auto"/>
            </w:tcBorders>
            <w:tcMar>
              <w:top w:w="57" w:type="dxa"/>
              <w:bottom w:w="57" w:type="dxa"/>
            </w:tcMar>
          </w:tcPr>
          <w:p w:rsidR="00B96BAA" w:rsidRPr="00A35237" w:rsidRDefault="00B96BAA" w:rsidP="0013438E">
            <w:pPr>
              <w:spacing w:before="60"/>
              <w:jc w:val="both"/>
              <w:rPr>
                <w:b/>
                <w:sz w:val="24"/>
                <w:szCs w:val="24"/>
              </w:rPr>
            </w:pPr>
            <w:r w:rsidRPr="00A35237">
              <w:rPr>
                <w:b/>
                <w:sz w:val="24"/>
                <w:szCs w:val="24"/>
              </w:rPr>
              <w:t>Tantárgy neve:</w:t>
            </w:r>
            <w:r>
              <w:rPr>
                <w:b/>
                <w:sz w:val="24"/>
                <w:szCs w:val="24"/>
              </w:rPr>
              <w:t xml:space="preserve"> </w:t>
            </w:r>
            <w:r>
              <w:rPr>
                <w:sz w:val="24"/>
                <w:szCs w:val="24"/>
              </w:rPr>
              <w:t>Nagy publicisták</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B96BAA" w:rsidRPr="00A35237" w:rsidRDefault="00B96BAA" w:rsidP="0013438E">
            <w:pPr>
              <w:spacing w:before="60"/>
              <w:jc w:val="both"/>
              <w:rPr>
                <w:b/>
                <w:sz w:val="24"/>
                <w:szCs w:val="24"/>
              </w:rPr>
            </w:pPr>
            <w:r w:rsidRPr="00A35237">
              <w:rPr>
                <w:b/>
                <w:sz w:val="24"/>
                <w:szCs w:val="24"/>
              </w:rPr>
              <w:t>Kreditszáma:</w:t>
            </w:r>
            <w:r>
              <w:rPr>
                <w:b/>
                <w:sz w:val="24"/>
                <w:szCs w:val="24"/>
              </w:rPr>
              <w:t xml:space="preserve"> </w:t>
            </w:r>
            <w:r w:rsidRPr="003910E3">
              <w:rPr>
                <w:sz w:val="24"/>
                <w:szCs w:val="24"/>
              </w:rPr>
              <w:t>3</w:t>
            </w:r>
          </w:p>
        </w:tc>
      </w:tr>
      <w:tr w:rsidR="00146639" w:rsidRPr="00A35237" w:rsidTr="00B96BAA">
        <w:tc>
          <w:tcPr>
            <w:tcW w:w="9177" w:type="dxa"/>
            <w:gridSpan w:val="2"/>
          </w:tcPr>
          <w:p w:rsidR="00146639" w:rsidRPr="00A35237" w:rsidRDefault="00146639" w:rsidP="00B96BAA">
            <w:pPr>
              <w:spacing w:before="60"/>
              <w:jc w:val="both"/>
              <w:rPr>
                <w:sz w:val="24"/>
                <w:szCs w:val="24"/>
              </w:rPr>
            </w:pPr>
            <w:r w:rsidRPr="00B96BAA">
              <w:rPr>
                <w:b/>
                <w:sz w:val="24"/>
                <w:szCs w:val="24"/>
              </w:rPr>
              <w:t>A tanóra típusa:</w:t>
            </w:r>
            <w:r w:rsidRPr="00A35237">
              <w:rPr>
                <w:sz w:val="24"/>
                <w:szCs w:val="24"/>
              </w:rPr>
              <w:t xml:space="preserve"> </w:t>
            </w:r>
            <w:r>
              <w:rPr>
                <w:sz w:val="24"/>
                <w:szCs w:val="24"/>
              </w:rPr>
              <w:t>szeminárium</w:t>
            </w:r>
            <w:r w:rsidRPr="00A35237">
              <w:rPr>
                <w:sz w:val="24"/>
                <w:szCs w:val="24"/>
              </w:rPr>
              <w:t xml:space="preserve"> </w:t>
            </w:r>
            <w:r w:rsidR="00B96BAA">
              <w:rPr>
                <w:b/>
                <w:sz w:val="24"/>
                <w:szCs w:val="24"/>
              </w:rPr>
              <w:t>Heti óraszáma:</w:t>
            </w:r>
            <w:r w:rsidRPr="00A35237">
              <w:rPr>
                <w:sz w:val="24"/>
                <w:szCs w:val="24"/>
              </w:rPr>
              <w:t xml:space="preserve"> </w:t>
            </w:r>
            <w:r w:rsidR="00B96BAA">
              <w:rPr>
                <w:sz w:val="24"/>
                <w:szCs w:val="24"/>
              </w:rPr>
              <w:t>2</w:t>
            </w:r>
            <w:r>
              <w:rPr>
                <w:sz w:val="24"/>
                <w:szCs w:val="24"/>
              </w:rPr>
              <w:t xml:space="preserve"> </w:t>
            </w:r>
          </w:p>
        </w:tc>
      </w:tr>
      <w:tr w:rsidR="00146639" w:rsidRPr="00A35237" w:rsidTr="00B96BAA">
        <w:tc>
          <w:tcPr>
            <w:tcW w:w="9177" w:type="dxa"/>
            <w:gridSpan w:val="2"/>
          </w:tcPr>
          <w:p w:rsidR="00146639" w:rsidRPr="00A35237" w:rsidRDefault="00146639" w:rsidP="0013438E">
            <w:pPr>
              <w:spacing w:before="60"/>
              <w:jc w:val="both"/>
              <w:rPr>
                <w:b/>
                <w:sz w:val="24"/>
                <w:szCs w:val="24"/>
              </w:rPr>
            </w:pPr>
            <w:r w:rsidRPr="00B96BAA">
              <w:rPr>
                <w:b/>
                <w:sz w:val="24"/>
                <w:szCs w:val="24"/>
              </w:rPr>
              <w:t>A számonkérés módja</w:t>
            </w:r>
            <w:r w:rsidR="00B96BAA" w:rsidRPr="00B96BAA">
              <w:rPr>
                <w:b/>
                <w:sz w:val="24"/>
                <w:szCs w:val="24"/>
              </w:rPr>
              <w:t>:</w:t>
            </w:r>
            <w:r>
              <w:rPr>
                <w:sz w:val="24"/>
                <w:szCs w:val="24"/>
              </w:rPr>
              <w:t xml:space="preserve"> gyakorlati jegy</w:t>
            </w:r>
          </w:p>
        </w:tc>
      </w:tr>
      <w:tr w:rsidR="00146639" w:rsidRPr="00A35237" w:rsidTr="00B96BAA">
        <w:tc>
          <w:tcPr>
            <w:tcW w:w="9177" w:type="dxa"/>
            <w:gridSpan w:val="2"/>
            <w:tcBorders>
              <w:bottom w:val="single" w:sz="4" w:space="0" w:color="auto"/>
            </w:tcBorders>
          </w:tcPr>
          <w:p w:rsidR="00146639" w:rsidRPr="00A35237" w:rsidRDefault="00146639" w:rsidP="0013438E">
            <w:pPr>
              <w:jc w:val="both"/>
              <w:rPr>
                <w:sz w:val="24"/>
                <w:szCs w:val="24"/>
              </w:rPr>
            </w:pPr>
            <w:r w:rsidRPr="00B96BAA">
              <w:rPr>
                <w:b/>
                <w:sz w:val="24"/>
                <w:szCs w:val="24"/>
              </w:rPr>
              <w:t>A tantárgy tantervi helye</w:t>
            </w:r>
            <w:r w:rsidR="00B96BAA" w:rsidRPr="00B96BAA">
              <w:rPr>
                <w:b/>
                <w:sz w:val="24"/>
                <w:szCs w:val="24"/>
              </w:rPr>
              <w:t>:</w:t>
            </w:r>
            <w:r w:rsidRPr="00A35237">
              <w:rPr>
                <w:sz w:val="24"/>
                <w:szCs w:val="24"/>
              </w:rPr>
              <w:t xml:space="preserve"> </w:t>
            </w:r>
            <w:r>
              <w:rPr>
                <w:sz w:val="24"/>
                <w:szCs w:val="24"/>
              </w:rPr>
              <w:t>6. félév</w:t>
            </w:r>
          </w:p>
        </w:tc>
      </w:tr>
      <w:tr w:rsidR="00146639" w:rsidRPr="00A35237" w:rsidTr="00B96BAA">
        <w:tc>
          <w:tcPr>
            <w:tcW w:w="9177" w:type="dxa"/>
            <w:gridSpan w:val="2"/>
            <w:tcBorders>
              <w:bottom w:val="single" w:sz="4" w:space="0" w:color="auto"/>
            </w:tcBorders>
          </w:tcPr>
          <w:p w:rsidR="00146639" w:rsidRPr="00B96BAA" w:rsidRDefault="00146639" w:rsidP="0013438E">
            <w:pPr>
              <w:jc w:val="both"/>
              <w:rPr>
                <w:b/>
                <w:sz w:val="24"/>
                <w:szCs w:val="24"/>
              </w:rPr>
            </w:pPr>
            <w:r w:rsidRPr="00B96BAA">
              <w:rPr>
                <w:b/>
                <w:sz w:val="24"/>
                <w:szCs w:val="24"/>
              </w:rPr>
              <w:t>Előtanulmányi feltételek</w:t>
            </w:r>
            <w:r w:rsidR="00B96BAA" w:rsidRPr="00B96BAA">
              <w:rPr>
                <w:b/>
                <w:sz w:val="24"/>
                <w:szCs w:val="24"/>
              </w:rPr>
              <w:t>:</w:t>
            </w:r>
            <w:r w:rsidRPr="00B96BAA">
              <w:rPr>
                <w:b/>
                <w:sz w:val="24"/>
                <w:szCs w:val="24"/>
              </w:rPr>
              <w:t xml:space="preserve"> </w:t>
            </w:r>
            <w:r w:rsidR="00B96BAA">
              <w:rPr>
                <w:b/>
                <w:sz w:val="24"/>
                <w:szCs w:val="24"/>
              </w:rPr>
              <w:t>–</w:t>
            </w:r>
          </w:p>
        </w:tc>
      </w:tr>
      <w:tr w:rsidR="00146639" w:rsidRPr="00A35237" w:rsidTr="00B96BAA">
        <w:tc>
          <w:tcPr>
            <w:tcW w:w="9177" w:type="dxa"/>
            <w:gridSpan w:val="2"/>
            <w:tcBorders>
              <w:bottom w:val="dotted" w:sz="4" w:space="0" w:color="auto"/>
            </w:tcBorders>
          </w:tcPr>
          <w:p w:rsidR="00146639" w:rsidRDefault="00146639" w:rsidP="00B96BAA">
            <w:pPr>
              <w:spacing w:before="120" w:after="120"/>
              <w:jc w:val="both"/>
              <w:rPr>
                <w:sz w:val="24"/>
                <w:szCs w:val="24"/>
              </w:rPr>
            </w:pPr>
            <w:r w:rsidRPr="00A35237">
              <w:rPr>
                <w:b/>
                <w:sz w:val="24"/>
                <w:szCs w:val="24"/>
              </w:rPr>
              <w:t>Tantárgyleírás</w:t>
            </w:r>
            <w:r w:rsidRPr="00A35237">
              <w:rPr>
                <w:sz w:val="24"/>
                <w:szCs w:val="24"/>
              </w:rPr>
              <w:t xml:space="preserve">: </w:t>
            </w:r>
          </w:p>
          <w:p w:rsidR="00146639" w:rsidRPr="00866A1A" w:rsidRDefault="00146639" w:rsidP="0013438E">
            <w:pPr>
              <w:spacing w:before="60"/>
              <w:jc w:val="both"/>
              <w:rPr>
                <w:sz w:val="24"/>
              </w:rPr>
            </w:pPr>
            <w:r w:rsidRPr="00866A1A">
              <w:rPr>
                <w:sz w:val="24"/>
              </w:rPr>
              <w:t>A kurzus a magyar sajtó XVIII. század végi kezdetei és a második világháború között működő kiemelkedő magyar újságírók életművével ismerteti meg a hallgatókat. A feldolgozás az adott újságíró publicisztikáinak megismerésén és elemzésén alapul.</w:t>
            </w:r>
          </w:p>
          <w:p w:rsidR="00146639" w:rsidRPr="00866A1A" w:rsidRDefault="00146639" w:rsidP="0013438E">
            <w:pPr>
              <w:spacing w:before="60"/>
              <w:jc w:val="both"/>
              <w:rPr>
                <w:sz w:val="24"/>
              </w:rPr>
            </w:pPr>
            <w:r w:rsidRPr="00866A1A">
              <w:rPr>
                <w:sz w:val="24"/>
              </w:rPr>
              <w:t>„Nagynak” az a publicista tekinthető, akinek egyénisége, stílusa, egész működése, nyomot hagyott a magyar nyelvű újságírás jellegén, fejlődésén, és bizonyos mértékig viszonyítási ponttá vált. A magyar sajtó története gazdag a jelentős publicistaegyéniségekben; az elemzendők lehetséges listája (időrendben):</w:t>
            </w:r>
          </w:p>
          <w:p w:rsidR="00146639" w:rsidRDefault="00146639" w:rsidP="00B96BAA">
            <w:pPr>
              <w:spacing w:before="60"/>
              <w:jc w:val="both"/>
              <w:rPr>
                <w:sz w:val="24"/>
              </w:rPr>
            </w:pPr>
            <w:r w:rsidRPr="00866A1A">
              <w:rPr>
                <w:sz w:val="24"/>
              </w:rPr>
              <w:t>Szatsvay Sándor, Nagy Ignác, Kossuth Lajos, Petőfi Sán</w:t>
            </w:r>
            <w:r w:rsidR="00B96BAA">
              <w:rPr>
                <w:sz w:val="24"/>
              </w:rPr>
              <w:t>dor, Falk Miksa, Kecskeméthy Au</w:t>
            </w:r>
            <w:r w:rsidRPr="00866A1A">
              <w:rPr>
                <w:sz w:val="24"/>
              </w:rPr>
              <w:t>rél, Csernátony Lajos, Jókai Mór, Kemény Zsigmond, Mikszáth Kálmán, Ágai Adolf, Gárdonyi Géza, Wohl Stefánia, Tóth Béla, Bartha Miklós, Thury Zoltán, Rákosi Jenő, Vészi József,  Tömörkény István, Móra Ferenc, Ady Endre, Fé</w:t>
            </w:r>
            <w:r w:rsidR="00B96BAA">
              <w:rPr>
                <w:sz w:val="24"/>
              </w:rPr>
              <w:t>nyes László, Ignotus, Molnár Fe</w:t>
            </w:r>
            <w:r w:rsidRPr="00866A1A">
              <w:rPr>
                <w:sz w:val="24"/>
              </w:rPr>
              <w:t>renc, Kosztolányi Dezső, Krúdy Gyula, Móricz Zsigmond, Pethő Sándor, Márai Sándor, Bálint György.</w:t>
            </w:r>
          </w:p>
          <w:p w:rsidR="00B96BAA" w:rsidRPr="00A35237" w:rsidRDefault="00B96BAA" w:rsidP="00B96BAA">
            <w:pPr>
              <w:spacing w:before="60"/>
              <w:jc w:val="both"/>
              <w:rPr>
                <w:b/>
                <w:sz w:val="24"/>
                <w:szCs w:val="24"/>
              </w:rPr>
            </w:pPr>
          </w:p>
        </w:tc>
      </w:tr>
      <w:tr w:rsidR="00146639" w:rsidRPr="00A35237" w:rsidTr="00B96BAA">
        <w:tc>
          <w:tcPr>
            <w:tcW w:w="9177" w:type="dxa"/>
            <w:gridSpan w:val="2"/>
            <w:tcBorders>
              <w:bottom w:val="dotted" w:sz="4" w:space="0" w:color="auto"/>
            </w:tcBorders>
          </w:tcPr>
          <w:p w:rsidR="00146639" w:rsidRPr="00F36C06" w:rsidRDefault="00146639" w:rsidP="00B96BAA">
            <w:pPr>
              <w:spacing w:before="120" w:after="120"/>
              <w:jc w:val="both"/>
              <w:rPr>
                <w:b/>
                <w:bCs/>
                <w:sz w:val="24"/>
                <w:szCs w:val="24"/>
              </w:rPr>
            </w:pPr>
            <w:r w:rsidRPr="00B96BAA">
              <w:rPr>
                <w:b/>
                <w:sz w:val="24"/>
                <w:szCs w:val="24"/>
              </w:rPr>
              <w:t>Kötelező</w:t>
            </w:r>
            <w:r w:rsidRPr="00F36C06">
              <w:rPr>
                <w:b/>
                <w:bCs/>
                <w:sz w:val="24"/>
                <w:szCs w:val="24"/>
              </w:rPr>
              <w:t xml:space="preserve"> olvasmányok:</w:t>
            </w:r>
          </w:p>
          <w:p w:rsidR="00146639" w:rsidRPr="009173BF" w:rsidRDefault="00146639" w:rsidP="0013438E">
            <w:pPr>
              <w:ind w:right="140"/>
              <w:jc w:val="both"/>
              <w:rPr>
                <w:sz w:val="24"/>
                <w:szCs w:val="24"/>
              </w:rPr>
            </w:pPr>
            <w:r>
              <w:rPr>
                <w:sz w:val="24"/>
                <w:szCs w:val="24"/>
              </w:rPr>
              <w:t>Buzinkay Géza –</w:t>
            </w:r>
            <w:r w:rsidRPr="009173BF">
              <w:rPr>
                <w:sz w:val="24"/>
                <w:szCs w:val="24"/>
              </w:rPr>
              <w:t xml:space="preserve"> Kókay György: </w:t>
            </w:r>
            <w:r w:rsidRPr="00CD78E3">
              <w:rPr>
                <w:i/>
                <w:sz w:val="24"/>
                <w:szCs w:val="24"/>
              </w:rPr>
              <w:t>A magyar sajtó története I.</w:t>
            </w:r>
            <w:r w:rsidRPr="009173BF">
              <w:rPr>
                <w:sz w:val="24"/>
                <w:szCs w:val="24"/>
              </w:rPr>
              <w:t xml:space="preserve"> </w:t>
            </w:r>
            <w:r>
              <w:rPr>
                <w:sz w:val="24"/>
                <w:szCs w:val="24"/>
              </w:rPr>
              <w:t>2005.</w:t>
            </w:r>
          </w:p>
          <w:p w:rsidR="00146639" w:rsidRPr="009173BF" w:rsidRDefault="00146639" w:rsidP="0013438E">
            <w:pPr>
              <w:pStyle w:val="Szvegblokk"/>
              <w:ind w:left="0"/>
              <w:rPr>
                <w:rFonts w:ascii="Times New Roman" w:hAnsi="Times New Roman" w:cs="Times New Roman"/>
                <w:sz w:val="24"/>
                <w:szCs w:val="24"/>
              </w:rPr>
            </w:pPr>
            <w:r w:rsidRPr="009173BF">
              <w:rPr>
                <w:rFonts w:ascii="Times New Roman" w:hAnsi="Times New Roman" w:cs="Times New Roman"/>
                <w:sz w:val="24"/>
                <w:szCs w:val="24"/>
              </w:rPr>
              <w:t xml:space="preserve">Szinnyei József: </w:t>
            </w:r>
            <w:r w:rsidRPr="00CD78E3">
              <w:rPr>
                <w:rFonts w:ascii="Times New Roman" w:hAnsi="Times New Roman" w:cs="Times New Roman"/>
                <w:i/>
                <w:sz w:val="24"/>
                <w:szCs w:val="24"/>
              </w:rPr>
              <w:t>Magyar írók élete és munkái. I-XIV. köt.</w:t>
            </w:r>
            <w:r w:rsidRPr="009173BF">
              <w:rPr>
                <w:rFonts w:ascii="Times New Roman" w:hAnsi="Times New Roman" w:cs="Times New Roman"/>
                <w:sz w:val="24"/>
                <w:szCs w:val="24"/>
              </w:rPr>
              <w:t xml:space="preserve"> (1891-1914, és reprint, </w:t>
            </w:r>
            <w:r w:rsidRPr="009173BF">
              <w:rPr>
                <w:rFonts w:ascii="Times New Roman" w:hAnsi="Times New Roman" w:cs="Times New Roman"/>
              </w:rPr>
              <w:t>CD-ROM</w:t>
            </w:r>
            <w:r w:rsidRPr="009173BF">
              <w:rPr>
                <w:rFonts w:ascii="Times New Roman" w:hAnsi="Times New Roman" w:cs="Times New Roman"/>
                <w:sz w:val="24"/>
                <w:szCs w:val="24"/>
              </w:rPr>
              <w:t>)</w:t>
            </w:r>
          </w:p>
          <w:p w:rsidR="00146639" w:rsidRPr="009173BF" w:rsidRDefault="00146639" w:rsidP="0013438E">
            <w:pPr>
              <w:pStyle w:val="Szvegblokk"/>
              <w:ind w:left="0"/>
              <w:rPr>
                <w:rFonts w:ascii="Times New Roman" w:hAnsi="Times New Roman" w:cs="Times New Roman"/>
                <w:sz w:val="24"/>
                <w:szCs w:val="24"/>
              </w:rPr>
            </w:pPr>
            <w:r w:rsidRPr="009173BF">
              <w:rPr>
                <w:rFonts w:ascii="Times New Roman" w:hAnsi="Times New Roman" w:cs="Times New Roman"/>
                <w:sz w:val="24"/>
                <w:szCs w:val="24"/>
              </w:rPr>
              <w:t xml:space="preserve">Gulyás Pál: </w:t>
            </w:r>
            <w:r w:rsidRPr="00CD78E3">
              <w:rPr>
                <w:rFonts w:ascii="Times New Roman" w:hAnsi="Times New Roman" w:cs="Times New Roman"/>
                <w:i/>
                <w:sz w:val="24"/>
                <w:szCs w:val="24"/>
              </w:rPr>
              <w:t>Magyar írók élete és munkái. I-XIX. köt.</w:t>
            </w:r>
            <w:r w:rsidRPr="009173BF">
              <w:rPr>
                <w:rFonts w:ascii="Times New Roman" w:hAnsi="Times New Roman" w:cs="Times New Roman"/>
                <w:sz w:val="24"/>
                <w:szCs w:val="24"/>
              </w:rPr>
              <w:t xml:space="preserve"> (1939-44, 1990-től)</w:t>
            </w:r>
          </w:p>
          <w:p w:rsidR="00146639" w:rsidRPr="009173BF" w:rsidRDefault="00146639" w:rsidP="0013438E">
            <w:pPr>
              <w:pStyle w:val="Szvegblokk"/>
              <w:ind w:left="0"/>
              <w:rPr>
                <w:rFonts w:ascii="Times New Roman" w:hAnsi="Times New Roman" w:cs="Times New Roman"/>
                <w:sz w:val="24"/>
                <w:szCs w:val="24"/>
              </w:rPr>
            </w:pPr>
            <w:r>
              <w:rPr>
                <w:rFonts w:ascii="Times New Roman" w:hAnsi="Times New Roman" w:cs="Times New Roman"/>
                <w:sz w:val="24"/>
                <w:szCs w:val="24"/>
              </w:rPr>
              <w:t xml:space="preserve">Cserhalmi Imre (szerk.) : </w:t>
            </w:r>
            <w:r w:rsidRPr="00CD78E3">
              <w:rPr>
                <w:rFonts w:ascii="Times New Roman" w:hAnsi="Times New Roman" w:cs="Times New Roman"/>
                <w:i/>
                <w:sz w:val="24"/>
                <w:szCs w:val="24"/>
              </w:rPr>
              <w:t>Sajtókincstár I.</w:t>
            </w:r>
            <w:r>
              <w:rPr>
                <w:rFonts w:ascii="Times New Roman" w:hAnsi="Times New Roman" w:cs="Times New Roman"/>
                <w:sz w:val="24"/>
                <w:szCs w:val="24"/>
              </w:rPr>
              <w:t xml:space="preserve"> 2001</w:t>
            </w:r>
          </w:p>
          <w:p w:rsidR="00146639" w:rsidRDefault="00146639" w:rsidP="0013438E">
            <w:pPr>
              <w:jc w:val="both"/>
              <w:rPr>
                <w:i/>
                <w:sz w:val="24"/>
                <w:szCs w:val="24"/>
              </w:rPr>
            </w:pPr>
            <w:r w:rsidRPr="009173BF">
              <w:rPr>
                <w:sz w:val="24"/>
                <w:szCs w:val="24"/>
              </w:rPr>
              <w:t xml:space="preserve">Buzinkay Géza (szerk.): </w:t>
            </w:r>
            <w:r w:rsidRPr="00CD78E3">
              <w:rPr>
                <w:i/>
                <w:sz w:val="24"/>
                <w:szCs w:val="24"/>
              </w:rPr>
              <w:t>Vezércikk, hírharang és szenzációs riport. (Sajtótörténeti szöveggyűjtemény</w:t>
            </w:r>
            <w:r>
              <w:rPr>
                <w:i/>
                <w:sz w:val="24"/>
                <w:szCs w:val="24"/>
              </w:rPr>
              <w:t>)</w:t>
            </w:r>
          </w:p>
          <w:p w:rsidR="00B96BAA" w:rsidRPr="00A35237" w:rsidRDefault="00B96BAA" w:rsidP="0013438E">
            <w:pPr>
              <w:jc w:val="both"/>
              <w:rPr>
                <w:b/>
                <w:sz w:val="24"/>
                <w:szCs w:val="24"/>
              </w:rPr>
            </w:pPr>
          </w:p>
        </w:tc>
      </w:tr>
      <w:tr w:rsidR="00146639" w:rsidRPr="00A35237" w:rsidTr="00B96BAA">
        <w:trPr>
          <w:trHeight w:val="338"/>
        </w:trPr>
        <w:tc>
          <w:tcPr>
            <w:tcW w:w="9177" w:type="dxa"/>
            <w:gridSpan w:val="2"/>
          </w:tcPr>
          <w:p w:rsidR="00146639" w:rsidRPr="005B641B" w:rsidRDefault="00146639" w:rsidP="00B96BAA">
            <w:pPr>
              <w:spacing w:before="120" w:after="120"/>
              <w:jc w:val="both"/>
              <w:rPr>
                <w:sz w:val="24"/>
                <w:szCs w:val="24"/>
              </w:rPr>
            </w:pPr>
            <w:r w:rsidRPr="00A35237">
              <w:rPr>
                <w:b/>
                <w:sz w:val="24"/>
                <w:szCs w:val="24"/>
              </w:rPr>
              <w:t>Tantárgy felelőse</w:t>
            </w:r>
            <w:r>
              <w:rPr>
                <w:b/>
                <w:sz w:val="24"/>
                <w:szCs w:val="24"/>
              </w:rPr>
              <w:t xml:space="preserve">: </w:t>
            </w:r>
            <w:r>
              <w:rPr>
                <w:sz w:val="24"/>
                <w:szCs w:val="24"/>
              </w:rPr>
              <w:t xml:space="preserve">Dr. habil </w:t>
            </w:r>
            <w:r w:rsidRPr="003C2763">
              <w:rPr>
                <w:sz w:val="24"/>
              </w:rPr>
              <w:t>Buzinkay Géza</w:t>
            </w:r>
            <w:r>
              <w:rPr>
                <w:sz w:val="24"/>
              </w:rPr>
              <w:t xml:space="preserve"> Prof. Emeritus</w:t>
            </w:r>
          </w:p>
        </w:tc>
      </w:tr>
      <w:tr w:rsidR="00146639" w:rsidRPr="00A35237" w:rsidTr="00B96BAA">
        <w:trPr>
          <w:trHeight w:val="337"/>
        </w:trPr>
        <w:tc>
          <w:tcPr>
            <w:tcW w:w="9177" w:type="dxa"/>
            <w:gridSpan w:val="2"/>
            <w:tcBorders>
              <w:bottom w:val="single" w:sz="4" w:space="0" w:color="auto"/>
            </w:tcBorders>
          </w:tcPr>
          <w:p w:rsidR="00E6087F" w:rsidRDefault="00146639" w:rsidP="00B96BAA">
            <w:pPr>
              <w:spacing w:before="120" w:after="120"/>
              <w:jc w:val="both"/>
              <w:rPr>
                <w:sz w:val="24"/>
              </w:rPr>
            </w:pPr>
            <w:r w:rsidRPr="00A35237">
              <w:rPr>
                <w:b/>
                <w:sz w:val="24"/>
                <w:szCs w:val="24"/>
              </w:rPr>
              <w:t>Tantár</w:t>
            </w:r>
            <w:r>
              <w:rPr>
                <w:b/>
                <w:sz w:val="24"/>
                <w:szCs w:val="24"/>
              </w:rPr>
              <w:t xml:space="preserve">gy oktatásába bevont oktató(k): </w:t>
            </w:r>
            <w:r>
              <w:rPr>
                <w:sz w:val="24"/>
                <w:szCs w:val="24"/>
              </w:rPr>
              <w:t xml:space="preserve">Dr. habil </w:t>
            </w:r>
            <w:r w:rsidRPr="003C2763">
              <w:rPr>
                <w:sz w:val="24"/>
              </w:rPr>
              <w:t>Buzinkay Géza</w:t>
            </w:r>
            <w:r>
              <w:rPr>
                <w:sz w:val="24"/>
              </w:rPr>
              <w:t xml:space="preserve"> Prof. Emeritus</w:t>
            </w:r>
            <w:r w:rsidR="00E6087F">
              <w:rPr>
                <w:sz w:val="24"/>
              </w:rPr>
              <w:t xml:space="preserve">, </w:t>
            </w:r>
          </w:p>
          <w:p w:rsidR="00146639" w:rsidRPr="00A35237" w:rsidRDefault="00E6087F" w:rsidP="00B96BAA">
            <w:pPr>
              <w:spacing w:before="120" w:after="120"/>
              <w:jc w:val="both"/>
              <w:rPr>
                <w:b/>
                <w:sz w:val="24"/>
                <w:szCs w:val="24"/>
              </w:rPr>
            </w:pPr>
            <w:r>
              <w:rPr>
                <w:sz w:val="24"/>
              </w:rPr>
              <w:t>dr. habil Széchenyi Ágnes főiskolai tanár</w:t>
            </w:r>
          </w:p>
        </w:tc>
      </w:tr>
    </w:tbl>
    <w:p w:rsidR="003E2344" w:rsidRDefault="003E2344"/>
    <w:sectPr w:rsidR="003E2344" w:rsidSect="00D2707F">
      <w:pgSz w:w="11905" w:h="16837" w:code="9"/>
      <w:pgMar w:top="1418" w:right="1418" w:bottom="1418" w:left="1418"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drawingGridHorizontalSpacing w:val="120"/>
  <w:displayHorizontalDrawingGridEvery w:val="2"/>
  <w:displayVerticalDrawingGridEvery w:val="2"/>
  <w:characterSpacingControl w:val="doNotCompress"/>
  <w:compat/>
  <w:rsids>
    <w:rsidRoot w:val="00146639"/>
    <w:rsid w:val="000A03F5"/>
    <w:rsid w:val="0013243B"/>
    <w:rsid w:val="00146639"/>
    <w:rsid w:val="003910E3"/>
    <w:rsid w:val="003E2344"/>
    <w:rsid w:val="007D254D"/>
    <w:rsid w:val="00A4023E"/>
    <w:rsid w:val="00B96BAA"/>
    <w:rsid w:val="00D21D90"/>
    <w:rsid w:val="00D2707F"/>
    <w:rsid w:val="00E41450"/>
    <w:rsid w:val="00E6087F"/>
    <w:rsid w:val="00EF27A2"/>
    <w:rsid w:val="00F337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6639"/>
    <w:pPr>
      <w:spacing w:line="240" w:lineRule="auto"/>
    </w:pPr>
    <w:rPr>
      <w:rFonts w:eastAsia="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blokk">
    <w:name w:val="Block Text"/>
    <w:basedOn w:val="Norml"/>
    <w:uiPriority w:val="99"/>
    <w:rsid w:val="00146639"/>
    <w:pPr>
      <w:autoSpaceDE w:val="0"/>
      <w:autoSpaceDN w:val="0"/>
      <w:ind w:left="283" w:right="-483"/>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1563</Characters>
  <Application>Microsoft Office Word</Application>
  <DocSecurity>0</DocSecurity>
  <Lines>13</Lines>
  <Paragraphs>3</Paragraphs>
  <ScaleCrop>false</ScaleCrop>
  <Company>EKF</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EKF</cp:lastModifiedBy>
  <cp:revision>4</cp:revision>
  <dcterms:created xsi:type="dcterms:W3CDTF">2012-06-28T13:44:00Z</dcterms:created>
  <dcterms:modified xsi:type="dcterms:W3CDTF">2013-07-08T10:46:00Z</dcterms:modified>
</cp:coreProperties>
</file>