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D4A42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4A42" w:rsidRPr="005142B8" w:rsidRDefault="005D4A42" w:rsidP="00063D7B">
            <w:pPr>
              <w:pStyle w:val="Cmsor3"/>
              <w:spacing w:before="0" w:after="0"/>
              <w:rPr>
                <w:rFonts w:ascii="Times New Roman" w:hAnsi="Times New Roman"/>
                <w:bCs w:val="0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Tantárgy neve: </w:t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  <w:lang w:val="hu-HU" w:eastAsia="hu-HU"/>
              </w:rPr>
              <w:t>Újkori magyar történelem 1849-1918</w:t>
            </w:r>
          </w:p>
          <w:p w:rsidR="005D4A42" w:rsidRPr="00A715BD" w:rsidRDefault="005D4A42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 xml:space="preserve">(A levert szabadságharctól az alkotmányos </w:t>
            </w:r>
            <w:proofErr w:type="gramStart"/>
            <w:r w:rsidRPr="00A715BD">
              <w:rPr>
                <w:b/>
                <w:bCs/>
                <w:sz w:val="24"/>
                <w:szCs w:val="24"/>
              </w:rPr>
              <w:t>kiegyezésig 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42" w:rsidRPr="00A715BD" w:rsidRDefault="005D4A4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A715BD">
              <w:rPr>
                <w:b/>
                <w:bCs/>
                <w:sz w:val="24"/>
                <w:szCs w:val="24"/>
              </w:rPr>
              <w:t>NBB_TR186G2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4A42" w:rsidRPr="00A715BD" w:rsidRDefault="005D4A4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5D4A42" w:rsidRPr="00A715BD" w:rsidTr="00063D7B">
        <w:tc>
          <w:tcPr>
            <w:tcW w:w="9180" w:type="dxa"/>
            <w:gridSpan w:val="3"/>
          </w:tcPr>
          <w:p w:rsidR="005D4A42" w:rsidRPr="00A715BD" w:rsidRDefault="005D4A42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5D4A42" w:rsidRPr="00A715BD" w:rsidTr="00063D7B">
        <w:tc>
          <w:tcPr>
            <w:tcW w:w="9180" w:type="dxa"/>
            <w:gridSpan w:val="3"/>
          </w:tcPr>
          <w:p w:rsidR="005D4A42" w:rsidRPr="00A715BD" w:rsidRDefault="005D4A4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5D4A42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4A42" w:rsidRPr="00A715BD" w:rsidRDefault="005D4A42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5D4A42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4A42" w:rsidRPr="00A715BD" w:rsidRDefault="005D4A42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5D4A42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5D4A42" w:rsidRPr="00A715BD" w:rsidRDefault="005D4A42" w:rsidP="00063D7B">
            <w:pPr>
              <w:pStyle w:val="Szvegtrzsbehzssal"/>
              <w:ind w:left="0"/>
              <w:rPr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tanegység célja és tartalma: A szeminárium céljaként a magyar történelem egyik nem igen ismert és tanított korszakának a megismertetését jelölhetjük meg. A magyar szabadságharc leverésétől a kiegyezésig terjedő időszakot a magyar történetírás gyakran elvesztegetett éveknek tekintette. Pedig a politikatörténetben a kiegyezés előkészítése, a különböző alternatívák megvalósítására tett kísérletek, az emigráció szellemi tevékenysége, az elnyomó rendszer modernizációs kísérletei alapvetően befolyásolták a kiegyezés utáni Magyarország minde</w:t>
            </w:r>
            <w:r w:rsidRPr="00A715BD">
              <w:rPr>
                <w:sz w:val="24"/>
                <w:szCs w:val="24"/>
              </w:rPr>
              <w:t>n</w:t>
            </w:r>
            <w:r w:rsidRPr="00A715BD">
              <w:rPr>
                <w:sz w:val="24"/>
                <w:szCs w:val="24"/>
              </w:rPr>
              <w:t>napjait. A legfontosabb tárgyalandó témakörök a következők: az u. n. Bach-korszak, vagyis a katonai diktatúra és a császári önkényuralom általános vonásai, a szembenálló hazai passzív ellenállás és emigrációs tevékenység önkényuralmi válság: forradalom és kiegyezés válaszútján, a konzervatív kiút-javaslat és bukása, a provizór</w:t>
            </w:r>
            <w:r w:rsidRPr="00A715BD">
              <w:rPr>
                <w:sz w:val="24"/>
                <w:szCs w:val="24"/>
              </w:rPr>
              <w:t>i</w:t>
            </w:r>
            <w:r w:rsidRPr="00A715BD">
              <w:rPr>
                <w:sz w:val="24"/>
                <w:szCs w:val="24"/>
              </w:rPr>
              <w:t>um, a külpolitikai fejlemények belpolitikai hatásai, titkos tárgyalások az udvar és a vezető magyar liberális á</w:t>
            </w:r>
            <w:r w:rsidRPr="00A715BD">
              <w:rPr>
                <w:sz w:val="24"/>
                <w:szCs w:val="24"/>
              </w:rPr>
              <w:t>l</w:t>
            </w:r>
            <w:r w:rsidRPr="00A715BD">
              <w:rPr>
                <w:sz w:val="24"/>
                <w:szCs w:val="24"/>
              </w:rPr>
              <w:t>lamférfiak között, a reális kompromisszum és fogadtatása, a megszülető kétközpontú alkotmányos monarchia működési mechanizmusa és annak nehézs</w:t>
            </w:r>
            <w:r w:rsidRPr="00A715BD">
              <w:rPr>
                <w:sz w:val="24"/>
                <w:szCs w:val="24"/>
              </w:rPr>
              <w:t>é</w:t>
            </w:r>
            <w:r w:rsidRPr="00A715BD">
              <w:rPr>
                <w:sz w:val="24"/>
                <w:szCs w:val="24"/>
              </w:rPr>
              <w:t>gei.</w:t>
            </w:r>
          </w:p>
        </w:tc>
      </w:tr>
      <w:tr w:rsidR="005D4A42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D4A42" w:rsidRPr="00A715BD" w:rsidRDefault="005D4A42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5D4A42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D4A42" w:rsidRPr="00A715BD" w:rsidRDefault="005D4A42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Hanák Péter: Magyarország a Monarchiában, Budapest, 1975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Fónagy</w:t>
            </w:r>
            <w:proofErr w:type="spellEnd"/>
            <w:r w:rsidRPr="00A715BD">
              <w:rPr>
                <w:sz w:val="24"/>
                <w:szCs w:val="24"/>
              </w:rPr>
              <w:t xml:space="preserve"> Zoltán: Modernizáció és polgárosodás, Debrecen, 2001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Benedek Gábor: </w:t>
            </w:r>
            <w:proofErr w:type="spellStart"/>
            <w:r w:rsidRPr="00A715BD">
              <w:rPr>
                <w:sz w:val="24"/>
                <w:szCs w:val="24"/>
              </w:rPr>
              <w:t>Ciszlajtániai</w:t>
            </w:r>
            <w:proofErr w:type="spellEnd"/>
            <w:r w:rsidRPr="00A715BD">
              <w:rPr>
                <w:sz w:val="24"/>
                <w:szCs w:val="24"/>
              </w:rPr>
              <w:t xml:space="preserve"> tisztviselők a </w:t>
            </w:r>
            <w:proofErr w:type="spellStart"/>
            <w:r w:rsidRPr="00A715BD">
              <w:rPr>
                <w:sz w:val="24"/>
                <w:szCs w:val="24"/>
              </w:rPr>
              <w:t>neoabszolutizmuskori</w:t>
            </w:r>
            <w:proofErr w:type="spellEnd"/>
            <w:r w:rsidRPr="00A715BD">
              <w:rPr>
                <w:sz w:val="24"/>
                <w:szCs w:val="24"/>
              </w:rPr>
              <w:t xml:space="preserve"> Magyarországon, </w:t>
            </w:r>
            <w:proofErr w:type="spellStart"/>
            <w:r w:rsidRPr="00A715BD">
              <w:rPr>
                <w:sz w:val="24"/>
                <w:szCs w:val="24"/>
              </w:rPr>
              <w:t>Aetas</w:t>
            </w:r>
            <w:proofErr w:type="spellEnd"/>
            <w:r w:rsidRPr="00A715BD">
              <w:rPr>
                <w:sz w:val="24"/>
                <w:szCs w:val="24"/>
              </w:rPr>
              <w:t>, 1995/4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Deák Ágnes: „nemzeti egyenjogúsítás”. Kormányzati nemzetiségpolitika Magyarországon 1849—1860, Budapest, 2000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Lukács Lajos: A magyar politikai emigráció 1849—1867, Budapest, 1984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Németh G. Béla (szerk.): Forradalom után - kiegyezés előtt. A magyar polgárosodás az abszolutizmus korában, Budapest, 1988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Pap József: Magyarország vármegyei tisztikara a reformkor végétől a kiegyezésig, Szeged, 2003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Sarlós Béla: Deák és a kiegyezés, Budapest, 1987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Schlett</w:t>
            </w:r>
            <w:proofErr w:type="spellEnd"/>
            <w:r w:rsidRPr="00A715BD">
              <w:rPr>
                <w:sz w:val="24"/>
                <w:szCs w:val="24"/>
              </w:rPr>
              <w:t xml:space="preserve"> István: A szociáldemokrácia és a magyar társadalom 1914-ig, Budapest, 1982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Somogyi Éva: Abszolutizmus és kiegyezés 1849-1867, Budapest, 1981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Somogyi Éva: Kormányzati rendszer a dualista Habsburg Monarchiában, Budapest, 1996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Spira</w:t>
            </w:r>
            <w:proofErr w:type="spellEnd"/>
            <w:r w:rsidRPr="00A715BD">
              <w:rPr>
                <w:sz w:val="24"/>
                <w:szCs w:val="24"/>
              </w:rPr>
              <w:t xml:space="preserve"> György: Kossuth és alkotmányterve, Debrecen, 1989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Szekfű Gyula: Három nemzedék, Budapest, 1989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Takács Péter: Deák Ferenc politikai pályája 11849—1965, Budapest, 1991</w:t>
            </w:r>
          </w:p>
          <w:p w:rsidR="005D4A42" w:rsidRPr="00A715BD" w:rsidRDefault="005D4A42" w:rsidP="00063D7B">
            <w:pPr>
              <w:pStyle w:val="Lbjegyzetszveg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Zachar József: Az osztrák-német liberális Alkotmánypárt és a politikai hatalom 1861, Budapest, 1981</w:t>
            </w:r>
          </w:p>
        </w:tc>
      </w:tr>
      <w:tr w:rsidR="005D4A42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D4A42" w:rsidRPr="00A715BD" w:rsidRDefault="005D4A42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5D4A42" w:rsidRPr="00A715BD" w:rsidTr="00063D7B">
        <w:trPr>
          <w:trHeight w:val="338"/>
        </w:trPr>
        <w:tc>
          <w:tcPr>
            <w:tcW w:w="9180" w:type="dxa"/>
            <w:gridSpan w:val="3"/>
          </w:tcPr>
          <w:p w:rsidR="005D4A42" w:rsidRPr="00A715BD" w:rsidRDefault="005D4A42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Mózes Mihály egyetemi tanár, CSc</w:t>
            </w:r>
          </w:p>
        </w:tc>
      </w:tr>
      <w:tr w:rsidR="005D4A42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4A42" w:rsidRPr="00A715BD" w:rsidRDefault="005D4A42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Pap József egyetemi docens, PhD</w:t>
            </w:r>
          </w:p>
        </w:tc>
      </w:tr>
    </w:tbl>
    <w:p w:rsidR="005D4A42" w:rsidRPr="00A715BD" w:rsidRDefault="005D4A42" w:rsidP="005D4A42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D4A42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4A42" w:rsidRPr="005142B8" w:rsidRDefault="005D4A42" w:rsidP="00063D7B">
            <w:pPr>
              <w:pStyle w:val="Cmsor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lastRenderedPageBreak/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Tantárgy neve: </w:t>
            </w:r>
          </w:p>
          <w:p w:rsidR="005D4A42" w:rsidRPr="00A715BD" w:rsidRDefault="005D4A42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Újkori magyar történelem (1849-1918)</w:t>
            </w:r>
          </w:p>
          <w:p w:rsidR="005D4A42" w:rsidRPr="00A715BD" w:rsidRDefault="005D4A42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(Forradalom után - kiegyezés előtt</w:t>
            </w:r>
            <w:r w:rsidRPr="00A715B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42" w:rsidRPr="00A715BD" w:rsidRDefault="005D4A4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A715BD">
              <w:rPr>
                <w:b/>
                <w:bCs/>
                <w:sz w:val="24"/>
                <w:szCs w:val="24"/>
              </w:rPr>
              <w:t>NBB_TR186G2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4A42" w:rsidRPr="00A715BD" w:rsidRDefault="005D4A4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5D4A42" w:rsidRPr="00A715BD" w:rsidTr="00063D7B">
        <w:tc>
          <w:tcPr>
            <w:tcW w:w="9180" w:type="dxa"/>
            <w:gridSpan w:val="3"/>
          </w:tcPr>
          <w:p w:rsidR="005D4A42" w:rsidRPr="00A715BD" w:rsidRDefault="005D4A42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5D4A42" w:rsidRPr="00A715BD" w:rsidTr="00063D7B">
        <w:tc>
          <w:tcPr>
            <w:tcW w:w="9180" w:type="dxa"/>
            <w:gridSpan w:val="3"/>
          </w:tcPr>
          <w:p w:rsidR="005D4A42" w:rsidRPr="00A715BD" w:rsidRDefault="005D4A4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5D4A42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4A42" w:rsidRPr="00A715BD" w:rsidRDefault="005D4A42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5D4A42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4A42" w:rsidRPr="00A715BD" w:rsidRDefault="005D4A42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5D4A42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5D4A42" w:rsidRPr="005142B8" w:rsidRDefault="005D4A42" w:rsidP="00063D7B">
            <w:pPr>
              <w:pStyle w:val="Szvegtrzs"/>
              <w:pBdr>
                <w:bottom w:val="none" w:sz="0" w:space="0" w:color="auto"/>
              </w:pBdr>
              <w:jc w:val="both"/>
              <w:rPr>
                <w:b w:val="0"/>
                <w:bCs/>
                <w:szCs w:val="24"/>
                <w:lang w:val="hu-HU" w:eastAsia="hu-HU"/>
              </w:rPr>
            </w:pPr>
            <w:r w:rsidRPr="005142B8">
              <w:rPr>
                <w:b w:val="0"/>
                <w:bCs/>
                <w:szCs w:val="24"/>
                <w:lang w:val="hu-HU" w:eastAsia="hu-HU"/>
              </w:rPr>
              <w:t>A szeminárium céljaként a magyar történelem egyik nem igen ismert és tanított korszakának a megismertetését jelölhetjük meg. A szabadságharc leverésétől a kiegyezésig eltelt időszakot a magyar történetírás gyakran elvesztegetett éveknek tekintette, pedig a politikatörténetben a kiegyezés előkészítése, a különböző alternatívák megvalósítására tett kísérletek, az emigráció szellemi tevékenysége, az elnyomó rendszer modernizációs kísérletei alapvetően befolyásolták a kiegyezés utáni Magyarország mindennapjait.</w:t>
            </w:r>
          </w:p>
          <w:p w:rsidR="005D4A42" w:rsidRPr="005142B8" w:rsidRDefault="005D4A42" w:rsidP="00063D7B">
            <w:pPr>
              <w:pStyle w:val="Szvegtrzs3"/>
              <w:rPr>
                <w:i/>
                <w:iCs/>
                <w:sz w:val="24"/>
                <w:szCs w:val="24"/>
                <w:lang w:val="hu-HU" w:eastAsia="hu-HU"/>
              </w:rPr>
            </w:pPr>
            <w:r w:rsidRPr="005142B8">
              <w:rPr>
                <w:bCs/>
                <w:sz w:val="24"/>
                <w:szCs w:val="24"/>
                <w:lang w:val="hu-HU" w:eastAsia="hu-HU"/>
              </w:rPr>
              <w:t>A legfontosabb témakörök a következők: a Bach korszak általános vonásai, a passzív ellenállás, az aktív ellenállás és az emigráció, 1859-61, a Bach-rendszer bukása, a konzervatív kiegyezési javaslat, az 1861-es országgyűlés, a Schmerling provizórium, az emigráció és a Birodalom külpolitikai szerepvállalása, 1861-1866. a kiegyezést előkészítő titkos tárgyalások, a kiegyezés</w:t>
            </w:r>
          </w:p>
        </w:tc>
      </w:tr>
      <w:tr w:rsidR="005D4A42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D4A42" w:rsidRPr="00A715BD" w:rsidRDefault="005D4A42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5D4A42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D4A42" w:rsidRPr="00A715BD" w:rsidRDefault="005D4A42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5D4A42" w:rsidRPr="00A715BD" w:rsidRDefault="005D4A42" w:rsidP="00063D7B">
            <w:pPr>
              <w:pStyle w:val="Szvegtrzsbehzssal"/>
              <w:tabs>
                <w:tab w:val="left" w:pos="709"/>
              </w:tabs>
              <w:spacing w:after="0"/>
              <w:ind w:left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Benedek Gábor: </w:t>
            </w:r>
            <w:proofErr w:type="spellStart"/>
            <w:r w:rsidRPr="00A715BD">
              <w:rPr>
                <w:sz w:val="24"/>
                <w:szCs w:val="24"/>
              </w:rPr>
              <w:t>Ciszlajtániai</w:t>
            </w:r>
            <w:proofErr w:type="spellEnd"/>
            <w:r w:rsidRPr="00A715BD">
              <w:rPr>
                <w:sz w:val="24"/>
                <w:szCs w:val="24"/>
              </w:rPr>
              <w:t xml:space="preserve"> tisztviselők a </w:t>
            </w:r>
            <w:proofErr w:type="spellStart"/>
            <w:r w:rsidRPr="00A715BD">
              <w:rPr>
                <w:sz w:val="24"/>
                <w:szCs w:val="24"/>
              </w:rPr>
              <w:t>neoabszolutizmuskori</w:t>
            </w:r>
            <w:proofErr w:type="spellEnd"/>
            <w:r w:rsidRPr="00A715BD">
              <w:rPr>
                <w:sz w:val="24"/>
                <w:szCs w:val="24"/>
              </w:rPr>
              <w:t xml:space="preserve"> Magyarországon. In: AETAS 1995./4.</w:t>
            </w:r>
          </w:p>
          <w:p w:rsidR="005D4A42" w:rsidRPr="00A715BD" w:rsidRDefault="005D4A42" w:rsidP="00063D7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Deák Ágnes: „Nemzeti egyenjogúsítás” Kormányzati nemzetiségpolitika Magyarországon 1849-1860. Budapest, 2000.</w:t>
            </w:r>
          </w:p>
          <w:p w:rsidR="005D4A42" w:rsidRPr="00A715BD" w:rsidRDefault="005D4A42" w:rsidP="00063D7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Deák Ágnes: Társadalmi ellenállási stratégiák Magyarországon az abszolutista kormányzat ellen 1851–1852-ben. In: AETAS 1995. 4.</w:t>
            </w:r>
          </w:p>
          <w:p w:rsidR="005D4A42" w:rsidRPr="00A715BD" w:rsidRDefault="005D4A42" w:rsidP="00063D7B">
            <w:pPr>
              <w:pStyle w:val="szveg"/>
              <w:tabs>
                <w:tab w:val="left" w:pos="709"/>
              </w:tabs>
              <w:spacing w:before="0" w:line="240" w:lineRule="auto"/>
              <w:ind w:left="0"/>
              <w:jc w:val="left"/>
              <w:rPr>
                <w:szCs w:val="24"/>
              </w:rPr>
            </w:pPr>
            <w:r w:rsidRPr="00A715BD">
              <w:rPr>
                <w:szCs w:val="24"/>
              </w:rPr>
              <w:t xml:space="preserve">Deák Ferenc beszédei. Szerkesztette: </w:t>
            </w:r>
            <w:r w:rsidRPr="00A715BD">
              <w:rPr>
                <w:i/>
                <w:szCs w:val="24"/>
              </w:rPr>
              <w:t>Kónyi Manó</w:t>
            </w:r>
            <w:r w:rsidRPr="00A715BD">
              <w:rPr>
                <w:szCs w:val="24"/>
              </w:rPr>
              <w:t>. Budapest, 1886. II-III. kötet vonatkozó fejezetei</w:t>
            </w:r>
          </w:p>
          <w:p w:rsidR="005D4A42" w:rsidRPr="00A715BD" w:rsidRDefault="005D4A42" w:rsidP="00063D7B">
            <w:pPr>
              <w:pStyle w:val="szveg"/>
              <w:tabs>
                <w:tab w:val="left" w:pos="709"/>
              </w:tabs>
              <w:spacing w:before="0" w:line="240" w:lineRule="auto"/>
              <w:ind w:left="0"/>
              <w:jc w:val="left"/>
              <w:rPr>
                <w:szCs w:val="24"/>
              </w:rPr>
            </w:pPr>
            <w:proofErr w:type="spellStart"/>
            <w:r w:rsidRPr="00A715BD">
              <w:rPr>
                <w:szCs w:val="24"/>
              </w:rPr>
              <w:t>Fónagy</w:t>
            </w:r>
            <w:proofErr w:type="spellEnd"/>
            <w:r w:rsidRPr="00A715BD">
              <w:rPr>
                <w:szCs w:val="24"/>
              </w:rPr>
              <w:t xml:space="preserve"> Zoltán: Modernizáció és polgárosodás. Debrecen, 2001.</w:t>
            </w:r>
          </w:p>
          <w:p w:rsidR="005D4A42" w:rsidRPr="00A715BD" w:rsidRDefault="005D4A42" w:rsidP="00063D7B">
            <w:pPr>
              <w:pStyle w:val="Szvegtrzsbehzssal"/>
              <w:tabs>
                <w:tab w:val="left" w:pos="709"/>
              </w:tabs>
              <w:spacing w:after="0"/>
              <w:ind w:left="0"/>
              <w:rPr>
                <w:sz w:val="24"/>
                <w:szCs w:val="24"/>
                <w:lang w:val="pt-BR"/>
              </w:rPr>
            </w:pPr>
            <w:r w:rsidRPr="00A715BD">
              <w:rPr>
                <w:sz w:val="24"/>
                <w:szCs w:val="24"/>
                <w:lang w:val="pt-BR"/>
              </w:rPr>
              <w:t xml:space="preserve">Lukács Lajos: Magyar politikai emigráció 1849-1867. Budapest, 1984. </w:t>
            </w:r>
          </w:p>
          <w:p w:rsidR="005D4A42" w:rsidRPr="00A715BD" w:rsidRDefault="005D4A42" w:rsidP="00063D7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Magyar törvénytár 1836-1868. évi </w:t>
            </w:r>
            <w:proofErr w:type="spellStart"/>
            <w:r w:rsidRPr="00A715BD">
              <w:rPr>
                <w:sz w:val="24"/>
                <w:szCs w:val="24"/>
              </w:rPr>
              <w:t>törvényczikkek</w:t>
            </w:r>
            <w:proofErr w:type="spellEnd"/>
            <w:r w:rsidRPr="00A715BD">
              <w:rPr>
                <w:sz w:val="24"/>
                <w:szCs w:val="24"/>
              </w:rPr>
              <w:t>. Budapest 1896. 1867. évi XII. tc., 1868. évi XLIV. tc., XXX. tc.</w:t>
            </w:r>
          </w:p>
          <w:p w:rsidR="005D4A42" w:rsidRPr="00A715BD" w:rsidRDefault="005D4A42" w:rsidP="00063D7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Magyarország története 1790-1849. Szerkesztette: Gergely Jenő, Budapest, 1998. (a továbbiakban: Gergely)</w:t>
            </w:r>
          </w:p>
          <w:p w:rsidR="005D4A42" w:rsidRPr="00A715BD" w:rsidRDefault="005D4A42" w:rsidP="00063D7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Pap József: Magyarország vármegyei tisztikara a reformkor végétől a kiegyezésig. Szeged, 2003.</w:t>
            </w:r>
          </w:p>
          <w:p w:rsidR="005D4A42" w:rsidRPr="00A715BD" w:rsidRDefault="005D4A42" w:rsidP="00063D7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Sarlós Béla: Deák és a kiegyezés. Budapest, 1987. </w:t>
            </w:r>
          </w:p>
          <w:p w:rsidR="005D4A42" w:rsidRPr="00A715BD" w:rsidRDefault="005D4A42" w:rsidP="00063D7B">
            <w:pPr>
              <w:pStyle w:val="Szvegtrzsbehzssal"/>
              <w:tabs>
                <w:tab w:val="left" w:pos="709"/>
              </w:tabs>
              <w:spacing w:after="0"/>
              <w:ind w:left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Somogyi Éva: A birodalmi centraliz</w:t>
            </w:r>
            <w:r w:rsidRPr="00A715BD">
              <w:rPr>
                <w:sz w:val="24"/>
                <w:szCs w:val="24"/>
              </w:rPr>
              <w:t>á</w:t>
            </w:r>
            <w:r w:rsidRPr="00A715BD">
              <w:rPr>
                <w:sz w:val="24"/>
                <w:szCs w:val="24"/>
              </w:rPr>
              <w:t>ciótól a dualizmusig (Az osztrák-német liberálisok útja a kiegyezéshez). Budapest, 1976.</w:t>
            </w:r>
          </w:p>
          <w:p w:rsidR="005D4A42" w:rsidRPr="00A715BD" w:rsidRDefault="005D4A42" w:rsidP="00063D7B">
            <w:pPr>
              <w:pStyle w:val="szveg"/>
              <w:tabs>
                <w:tab w:val="left" w:pos="709"/>
              </w:tabs>
              <w:spacing w:before="0" w:line="240" w:lineRule="auto"/>
              <w:ind w:left="0"/>
              <w:jc w:val="left"/>
              <w:rPr>
                <w:szCs w:val="24"/>
              </w:rPr>
            </w:pPr>
            <w:r w:rsidRPr="00A715BD">
              <w:rPr>
                <w:szCs w:val="24"/>
              </w:rPr>
              <w:t xml:space="preserve">Szabad György: Forradalom és kiegyezés válaszútján (1860-61). Budapest, 1967. 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Szabad György: Miért halt meg Teleki László?</w:t>
            </w:r>
          </w:p>
        </w:tc>
      </w:tr>
      <w:tr w:rsidR="005D4A42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D4A42" w:rsidRPr="00A715BD" w:rsidRDefault="005D4A42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5D4A42" w:rsidRPr="00A715BD" w:rsidTr="00063D7B">
        <w:trPr>
          <w:trHeight w:val="338"/>
        </w:trPr>
        <w:tc>
          <w:tcPr>
            <w:tcW w:w="9180" w:type="dxa"/>
            <w:gridSpan w:val="3"/>
          </w:tcPr>
          <w:p w:rsidR="005D4A42" w:rsidRPr="00A715BD" w:rsidRDefault="005D4A42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Mózes Mihály egyetemi tanár, CSc</w:t>
            </w:r>
          </w:p>
        </w:tc>
      </w:tr>
      <w:tr w:rsidR="005D4A42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4A42" w:rsidRPr="00A715BD" w:rsidRDefault="005D4A42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Pap József egyetemi docens, PhD</w:t>
            </w:r>
          </w:p>
        </w:tc>
      </w:tr>
    </w:tbl>
    <w:p w:rsidR="005D4A42" w:rsidRPr="00A715BD" w:rsidRDefault="005D4A42" w:rsidP="005D4A42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D4A42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4A42" w:rsidRPr="00A715BD" w:rsidRDefault="005D4A42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Újkori magyar történelem (1849-1918)</w:t>
            </w:r>
          </w:p>
          <w:p w:rsidR="005D4A42" w:rsidRPr="00A715BD" w:rsidRDefault="005D4A42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(A Monarchia külpolitikája a dualizmus korában)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42" w:rsidRPr="00A715BD" w:rsidRDefault="005D4A4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A715BD">
              <w:rPr>
                <w:b/>
                <w:bCs/>
                <w:sz w:val="24"/>
                <w:szCs w:val="24"/>
              </w:rPr>
              <w:t>NBB_TR186G2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4A42" w:rsidRPr="00A715BD" w:rsidRDefault="005D4A4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5D4A42" w:rsidRPr="00A715BD" w:rsidTr="00063D7B">
        <w:tc>
          <w:tcPr>
            <w:tcW w:w="9180" w:type="dxa"/>
            <w:gridSpan w:val="3"/>
          </w:tcPr>
          <w:p w:rsidR="005D4A42" w:rsidRPr="00A715BD" w:rsidRDefault="005D4A42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5D4A42" w:rsidRPr="00A715BD" w:rsidTr="00063D7B">
        <w:tc>
          <w:tcPr>
            <w:tcW w:w="9180" w:type="dxa"/>
            <w:gridSpan w:val="3"/>
          </w:tcPr>
          <w:p w:rsidR="005D4A42" w:rsidRPr="00A715BD" w:rsidRDefault="005D4A4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5D4A42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4A42" w:rsidRPr="00A715BD" w:rsidRDefault="005D4A42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5D4A42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4A42" w:rsidRPr="00A715BD" w:rsidRDefault="005D4A42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5D4A42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5D4A42" w:rsidRPr="00A715BD" w:rsidRDefault="005D4A42" w:rsidP="00063D7B">
            <w:pPr>
              <w:jc w:val="both"/>
              <w:rPr>
                <w:i/>
                <w:i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Monarchia külpolitikájának feltételrendszere. A „három császár politika” kísérlete és válsága, Andrássy külpolitikája. A „keleti kérdés” és az osztrák-magyar külpolitika. A berlini konferencia és a Monarchia.  „Új külpolitika”: a kettős és a hármas szövetség kialakulása. Témazáró dolgozat. Bosznia-Hercegovina okkupálása és külpolitikai következményei, a Kálnoky-féle fordulat. Az annexiós válság. A Monarchia és a Balkán háborúk. A szarajevói merénylet és az ultimátum. Erőviszonyok, fegyverzetek és haditervek. Zárthelyi dolgozat íratása. A Monarchia és a háború.</w:t>
            </w:r>
          </w:p>
        </w:tc>
      </w:tr>
      <w:tr w:rsidR="005D4A42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D4A42" w:rsidRPr="00A715BD" w:rsidRDefault="005D4A42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5D4A42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D4A42" w:rsidRPr="00A715BD" w:rsidRDefault="005D4A42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Diószegi I.: Nemzet, dinasztia, külpolitika. Bp., 1979.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Diószegi I.: Nemzetközi kapcsolatok története 1789-1918. Bp., 1988.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Diószegi I.: Ausztria-Magyarország és Bulgária a San </w:t>
            </w:r>
            <w:proofErr w:type="spellStart"/>
            <w:r w:rsidRPr="00A715BD">
              <w:rPr>
                <w:sz w:val="24"/>
                <w:szCs w:val="24"/>
              </w:rPr>
              <w:t>Stefano-i</w:t>
            </w:r>
            <w:proofErr w:type="spellEnd"/>
            <w:r w:rsidRPr="00A715BD">
              <w:rPr>
                <w:sz w:val="24"/>
                <w:szCs w:val="24"/>
              </w:rPr>
              <w:t xml:space="preserve"> béke után (1878-1879) Bp., 1961.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Gratz</w:t>
            </w:r>
            <w:proofErr w:type="spellEnd"/>
            <w:r w:rsidRPr="00A715BD">
              <w:rPr>
                <w:sz w:val="24"/>
                <w:szCs w:val="24"/>
              </w:rPr>
              <w:t xml:space="preserve">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dualizmus kora I-II. kötet. Bp., 1992.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Palotás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Osztrák-Magyar Monarchia balkáni politikája a berlini kongresszus után 1878-1881. Bp., 1982.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Galántai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</w:t>
            </w:r>
            <w:proofErr w:type="spellStart"/>
            <w:r w:rsidRPr="00A715BD">
              <w:rPr>
                <w:sz w:val="24"/>
                <w:szCs w:val="24"/>
              </w:rPr>
              <w:t>Habsburg-Monarchia</w:t>
            </w:r>
            <w:proofErr w:type="spellEnd"/>
            <w:r w:rsidRPr="00A715BD">
              <w:rPr>
                <w:sz w:val="24"/>
                <w:szCs w:val="24"/>
              </w:rPr>
              <w:t xml:space="preserve"> alkonya. Bp., 1985.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Beksics</w:t>
            </w:r>
            <w:proofErr w:type="spellEnd"/>
            <w:r w:rsidRPr="00A715BD">
              <w:rPr>
                <w:sz w:val="24"/>
                <w:szCs w:val="24"/>
              </w:rPr>
              <w:t xml:space="preserve">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I. Ferenc József és kora (A magyar nemzet története X. k.) Bp., 1898.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Halász I.: Bismarck és Andrássy. Bp., 1913.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Pach</w:t>
            </w:r>
            <w:proofErr w:type="spellEnd"/>
            <w:r w:rsidRPr="00A715BD">
              <w:rPr>
                <w:sz w:val="24"/>
                <w:szCs w:val="24"/>
              </w:rPr>
              <w:t xml:space="preserve"> Zs. P.-Hanák P.: Magyarország története az abszolutizmus és a dualizmus korában 1849-1918. Bp., 1956.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Új- és </w:t>
            </w:r>
            <w:proofErr w:type="spellStart"/>
            <w:r w:rsidRPr="00A715BD">
              <w:rPr>
                <w:sz w:val="24"/>
                <w:szCs w:val="24"/>
              </w:rPr>
              <w:t>legújabbkori</w:t>
            </w:r>
            <w:proofErr w:type="spellEnd"/>
            <w:r w:rsidRPr="00A715BD">
              <w:rPr>
                <w:sz w:val="24"/>
                <w:szCs w:val="24"/>
              </w:rPr>
              <w:t xml:space="preserve"> egyetemes történeti szöveggyűjtemény IV. k. Kelet-Európa. Szerk.: </w:t>
            </w:r>
            <w:proofErr w:type="spellStart"/>
            <w:r w:rsidRPr="00A715BD">
              <w:rPr>
                <w:sz w:val="24"/>
                <w:szCs w:val="24"/>
              </w:rPr>
              <w:t>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.,</w:t>
            </w:r>
            <w:proofErr w:type="gramEnd"/>
            <w:r w:rsidRPr="00A715BD">
              <w:rPr>
                <w:sz w:val="24"/>
                <w:szCs w:val="24"/>
              </w:rPr>
              <w:t xml:space="preserve"> Bp., 1968.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Herczegh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Magyarország külpolitikája 896-1919. Bp., 1987.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B. </w:t>
            </w:r>
            <w:proofErr w:type="spellStart"/>
            <w:r w:rsidRPr="00A715BD">
              <w:rPr>
                <w:sz w:val="24"/>
                <w:szCs w:val="24"/>
              </w:rPr>
              <w:t>Jelavich</w:t>
            </w:r>
            <w:proofErr w:type="spellEnd"/>
            <w:r w:rsidRPr="00A715BD">
              <w:rPr>
                <w:sz w:val="24"/>
                <w:szCs w:val="24"/>
              </w:rPr>
              <w:t>: A Balkán története I. Bp., Osiris-2000. 1996.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Gergely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>. (szerk.): A 19. század magyar történelme. Bp., 1998.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Gunst P.(szerk.): Európa története. Debrecen, 1994.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Galántai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első világháború. Bp., 1988.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Magyarország története VII/1. és VII/2. (szerk. Kovács E.) Bp., 1986.</w:t>
            </w:r>
          </w:p>
        </w:tc>
      </w:tr>
      <w:tr w:rsidR="005D4A42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D4A42" w:rsidRPr="00A715BD" w:rsidRDefault="005D4A42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5D4A42" w:rsidRPr="00A715BD" w:rsidTr="00063D7B">
        <w:trPr>
          <w:trHeight w:val="338"/>
        </w:trPr>
        <w:tc>
          <w:tcPr>
            <w:tcW w:w="9180" w:type="dxa"/>
            <w:gridSpan w:val="3"/>
          </w:tcPr>
          <w:p w:rsidR="005D4A42" w:rsidRPr="00A715BD" w:rsidRDefault="005D4A42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Mózes Mihály egyetemi tanár, CSc</w:t>
            </w:r>
          </w:p>
        </w:tc>
      </w:tr>
      <w:tr w:rsidR="005D4A42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4A42" w:rsidRPr="00A715BD" w:rsidRDefault="005D4A42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Mózes Mihály egyetemi tanár, CSc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A42"/>
    <w:rsid w:val="00011EAC"/>
    <w:rsid w:val="005D4A42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4A4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5D4A4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D4A42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D4A4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D4A4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5D4A42"/>
    <w:pPr>
      <w:pBdr>
        <w:bottom w:val="single" w:sz="6" w:space="1" w:color="auto"/>
      </w:pBdr>
      <w:jc w:val="center"/>
    </w:pPr>
    <w:rPr>
      <w:rFonts w:eastAsia="MS Mincho"/>
      <w:b/>
      <w:sz w:val="24"/>
      <w:lang/>
    </w:rPr>
  </w:style>
  <w:style w:type="character" w:customStyle="1" w:styleId="SzvegtrzsChar">
    <w:name w:val="Szövegtörzs Char"/>
    <w:basedOn w:val="Bekezdsalapbettpusa"/>
    <w:link w:val="Szvegtrzs"/>
    <w:rsid w:val="005D4A42"/>
    <w:rPr>
      <w:rFonts w:ascii="Times New Roman" w:eastAsia="MS Mincho" w:hAnsi="Times New Roman" w:cs="Times New Roman"/>
      <w:b/>
      <w:sz w:val="24"/>
      <w:szCs w:val="20"/>
      <w:lang/>
    </w:rPr>
  </w:style>
  <w:style w:type="paragraph" w:styleId="Szvegtrzs3">
    <w:name w:val="Body Text 3"/>
    <w:basedOn w:val="Norml"/>
    <w:link w:val="Szvegtrzs3Char"/>
    <w:uiPriority w:val="99"/>
    <w:unhideWhenUsed/>
    <w:rsid w:val="005D4A42"/>
    <w:pPr>
      <w:spacing w:after="120"/>
    </w:pPr>
    <w:rPr>
      <w:sz w:val="16"/>
      <w:szCs w:val="16"/>
      <w:lang/>
    </w:rPr>
  </w:style>
  <w:style w:type="character" w:customStyle="1" w:styleId="Szvegtrzs3Char">
    <w:name w:val="Szövegtörzs 3 Char"/>
    <w:basedOn w:val="Bekezdsalapbettpusa"/>
    <w:link w:val="Szvegtrzs3"/>
    <w:uiPriority w:val="99"/>
    <w:rsid w:val="005D4A42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szveg">
    <w:name w:val="szöveg"/>
    <w:basedOn w:val="Norml"/>
    <w:autoRedefine/>
    <w:rsid w:val="005D4A42"/>
    <w:pPr>
      <w:spacing w:before="120" w:line="360" w:lineRule="auto"/>
      <w:ind w:left="567"/>
      <w:jc w:val="both"/>
    </w:pPr>
    <w:rPr>
      <w:rFonts w:eastAsia="MS Mincho"/>
      <w:sz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5D4A4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5D4A4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6538</Characters>
  <Application>Microsoft Office Word</Application>
  <DocSecurity>0</DocSecurity>
  <Lines>54</Lines>
  <Paragraphs>14</Paragraphs>
  <ScaleCrop>false</ScaleCrop>
  <Company>EKF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2012-07-03T13:24:00Z</dcterms:created>
  <dcterms:modified xsi:type="dcterms:W3CDTF">2012-07-03T13:24:00Z</dcterms:modified>
</cp:coreProperties>
</file>