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623158" w:rsidRPr="00327C0F" w:rsidTr="00A41C79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3158" w:rsidRPr="00327C0F" w:rsidRDefault="00623158" w:rsidP="00623158">
            <w:pPr>
              <w:rPr>
                <w:b/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7C0F">
              <w:rPr>
                <w:b/>
                <w:sz w:val="24"/>
                <w:szCs w:val="24"/>
              </w:rPr>
              <w:t>A modern hermeneutika művészetfilozófiája</w:t>
            </w:r>
          </w:p>
          <w:p w:rsidR="00623158" w:rsidRPr="00327C0F" w:rsidRDefault="00623158" w:rsidP="0062315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327C0F">
              <w:rPr>
                <w:b/>
                <w:sz w:val="24"/>
                <w:szCs w:val="24"/>
              </w:rPr>
              <w:t>ódja: NBB_SB180K3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3158" w:rsidRPr="00327C0F" w:rsidRDefault="00623158" w:rsidP="006231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327C0F" w:rsidTr="007D7BD7">
        <w:tc>
          <w:tcPr>
            <w:tcW w:w="9180" w:type="dxa"/>
            <w:gridSpan w:val="2"/>
          </w:tcPr>
          <w:p w:rsidR="003218A2" w:rsidRPr="00327C0F" w:rsidRDefault="003218A2" w:rsidP="00623158">
            <w:pPr>
              <w:spacing w:before="60"/>
              <w:jc w:val="both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 xml:space="preserve">A tanóra </w:t>
            </w:r>
            <w:proofErr w:type="gramStart"/>
            <w:r w:rsidRPr="00327C0F">
              <w:rPr>
                <w:sz w:val="24"/>
                <w:szCs w:val="24"/>
              </w:rPr>
              <w:t>típusa</w:t>
            </w:r>
            <w:r w:rsidRPr="00327C0F">
              <w:rPr>
                <w:rStyle w:val="Lbjegyzet-hivatkozs"/>
                <w:sz w:val="24"/>
                <w:szCs w:val="24"/>
              </w:rPr>
              <w:footnoteReference w:id="1"/>
            </w:r>
            <w:r w:rsidRPr="00327C0F">
              <w:rPr>
                <w:sz w:val="24"/>
                <w:szCs w:val="24"/>
              </w:rPr>
              <w:t>:</w:t>
            </w:r>
            <w:proofErr w:type="gramEnd"/>
            <w:r w:rsidR="00FE7D46" w:rsidRPr="00327C0F">
              <w:rPr>
                <w:sz w:val="24"/>
                <w:szCs w:val="24"/>
              </w:rPr>
              <w:t xml:space="preserve"> </w:t>
            </w:r>
            <w:r w:rsidR="00B648CC" w:rsidRPr="00623158">
              <w:rPr>
                <w:b/>
                <w:sz w:val="24"/>
                <w:szCs w:val="24"/>
              </w:rPr>
              <w:t>előadás</w:t>
            </w:r>
            <w:r w:rsidRPr="00327C0F">
              <w:rPr>
                <w:sz w:val="24"/>
                <w:szCs w:val="24"/>
              </w:rPr>
              <w:tab/>
              <w:t xml:space="preserve">és száma: </w:t>
            </w:r>
            <w:r w:rsidR="00623158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327C0F" w:rsidTr="007D7BD7">
        <w:tc>
          <w:tcPr>
            <w:tcW w:w="9180" w:type="dxa"/>
            <w:gridSpan w:val="2"/>
          </w:tcPr>
          <w:p w:rsidR="003218A2" w:rsidRPr="00327C0F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>A számonkérés módja (</w:t>
            </w:r>
            <w:proofErr w:type="spellStart"/>
            <w:r w:rsidRPr="00327C0F">
              <w:rPr>
                <w:sz w:val="24"/>
                <w:szCs w:val="24"/>
              </w:rPr>
              <w:t>koll</w:t>
            </w:r>
            <w:proofErr w:type="spellEnd"/>
            <w:r w:rsidRPr="00327C0F">
              <w:rPr>
                <w:sz w:val="24"/>
                <w:szCs w:val="24"/>
              </w:rPr>
              <w:t>./</w:t>
            </w:r>
            <w:proofErr w:type="spellStart"/>
            <w:r w:rsidRPr="00327C0F">
              <w:rPr>
                <w:sz w:val="24"/>
                <w:szCs w:val="24"/>
              </w:rPr>
              <w:t>gyj</w:t>
            </w:r>
            <w:proofErr w:type="spellEnd"/>
            <w:r w:rsidRPr="00327C0F">
              <w:rPr>
                <w:sz w:val="24"/>
                <w:szCs w:val="24"/>
              </w:rPr>
              <w:t>./</w:t>
            </w:r>
            <w:proofErr w:type="gramStart"/>
            <w:r w:rsidRPr="00327C0F">
              <w:rPr>
                <w:sz w:val="24"/>
                <w:szCs w:val="24"/>
              </w:rPr>
              <w:t>egyéb</w:t>
            </w:r>
            <w:r w:rsidRPr="00327C0F">
              <w:rPr>
                <w:rStyle w:val="Lbjegyzet-hivatkozs"/>
                <w:sz w:val="24"/>
                <w:szCs w:val="24"/>
              </w:rPr>
              <w:footnoteReference w:id="2"/>
            </w:r>
            <w:r w:rsidRPr="00327C0F">
              <w:rPr>
                <w:sz w:val="24"/>
                <w:szCs w:val="24"/>
              </w:rPr>
              <w:t>)</w:t>
            </w:r>
            <w:proofErr w:type="gramEnd"/>
            <w:r w:rsidRPr="00327C0F">
              <w:rPr>
                <w:sz w:val="24"/>
                <w:szCs w:val="24"/>
              </w:rPr>
              <w:t xml:space="preserve">: </w:t>
            </w:r>
            <w:r w:rsidR="00B648CC" w:rsidRPr="00623158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327C0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27C0F" w:rsidRDefault="003218A2" w:rsidP="007D7BD7">
            <w:pPr>
              <w:jc w:val="both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>A tantárgy tantervi helye (hányadik félév):</w:t>
            </w:r>
            <w:r w:rsidR="00FE7D46" w:rsidRPr="00327C0F">
              <w:rPr>
                <w:sz w:val="24"/>
                <w:szCs w:val="24"/>
              </w:rPr>
              <w:t xml:space="preserve"> </w:t>
            </w:r>
            <w:r w:rsidR="002526F1" w:rsidRPr="00623158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327C0F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27C0F" w:rsidRDefault="003218A2" w:rsidP="007D7BD7">
            <w:pPr>
              <w:jc w:val="both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 xml:space="preserve">Előtanulmányi feltételek </w:t>
            </w:r>
            <w:r w:rsidRPr="00327C0F">
              <w:rPr>
                <w:i/>
                <w:sz w:val="24"/>
                <w:szCs w:val="24"/>
              </w:rPr>
              <w:t>(ha vannak)</w:t>
            </w:r>
            <w:r w:rsidRPr="00327C0F">
              <w:rPr>
                <w:sz w:val="24"/>
                <w:szCs w:val="24"/>
              </w:rPr>
              <w:t>:</w:t>
            </w:r>
            <w:r w:rsidRPr="00327C0F">
              <w:rPr>
                <w:i/>
                <w:sz w:val="24"/>
                <w:szCs w:val="24"/>
              </w:rPr>
              <w:t xml:space="preserve"> </w:t>
            </w:r>
            <w:r w:rsidR="002526F1" w:rsidRPr="00327C0F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327C0F" w:rsidTr="00623158">
        <w:trPr>
          <w:trHeight w:val="3940"/>
        </w:trPr>
        <w:tc>
          <w:tcPr>
            <w:tcW w:w="9180" w:type="dxa"/>
            <w:gridSpan w:val="2"/>
          </w:tcPr>
          <w:p w:rsidR="00FE7D46" w:rsidRPr="00327C0F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>Tantárgyleírás</w:t>
            </w:r>
            <w:r w:rsidRPr="00327C0F">
              <w:rPr>
                <w:sz w:val="24"/>
                <w:szCs w:val="24"/>
              </w:rPr>
              <w:t>:</w:t>
            </w:r>
          </w:p>
          <w:p w:rsidR="002526F1" w:rsidRPr="00327C0F" w:rsidRDefault="002526F1" w:rsidP="002526F1">
            <w:pPr>
              <w:tabs>
                <w:tab w:val="left" w:pos="1164"/>
                <w:tab w:val="left" w:pos="8677"/>
              </w:tabs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>A kurzus középpontjában Gadamer hermeneutikai művészetelméletének az elemző bemutatása áll. Konkrétan a következő témákat dolgozzuk fel: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A hermeneutikai tradíció vázlatos áttekintése 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18" w:hanging="29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Gadamer hermeneutikájának alapfogalmai: megértés, értelmezés és alkalmazás, hermeneutikai tapasztalat, kutatástörténet, horizont 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A szépség </w:t>
            </w:r>
            <w:proofErr w:type="gramStart"/>
            <w:r w:rsidRPr="00327C0F">
              <w:rPr>
                <w:snapToGrid w:val="0"/>
                <w:color w:val="000000"/>
                <w:sz w:val="24"/>
                <w:szCs w:val="24"/>
              </w:rPr>
              <w:t>szeretete</w:t>
            </w:r>
            <w:proofErr w:type="gramEnd"/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 avagy a művészet megértése – Platón és Gadamer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>A szép fogalmának újraértelmezése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A műalkotás létmódja: a </w:t>
            </w:r>
            <w:proofErr w:type="gramStart"/>
            <w:r w:rsidRPr="00327C0F">
              <w:rPr>
                <w:snapToGrid w:val="0"/>
                <w:color w:val="000000"/>
                <w:sz w:val="24"/>
                <w:szCs w:val="24"/>
              </w:rPr>
              <w:t>művészet</w:t>
            </w:r>
            <w:proofErr w:type="gramEnd"/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 mint játék, szimbólum és ünnep 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A művészet igazság-érvénye 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A műalkotás „megértése” és a szöveg interpretációja a </w:t>
            </w:r>
            <w:proofErr w:type="spellStart"/>
            <w:r w:rsidRPr="00327C0F">
              <w:rPr>
                <w:snapToGrid w:val="0"/>
                <w:color w:val="000000"/>
                <w:sz w:val="24"/>
                <w:szCs w:val="24"/>
              </w:rPr>
              <w:t>gadameri</w:t>
            </w:r>
            <w:proofErr w:type="spellEnd"/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 hermeneutikában</w:t>
            </w:r>
          </w:p>
          <w:p w:rsidR="002526F1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>Költészet és gondolkodás – irodalom és filozófia</w:t>
            </w:r>
          </w:p>
          <w:p w:rsidR="00FE7D46" w:rsidRPr="00327C0F" w:rsidRDefault="002526F1" w:rsidP="00327C0F">
            <w:pPr>
              <w:pStyle w:val="Listaszerbekezds"/>
              <w:numPr>
                <w:ilvl w:val="0"/>
                <w:numId w:val="3"/>
              </w:numPr>
              <w:tabs>
                <w:tab w:val="left" w:pos="318"/>
                <w:tab w:val="left" w:pos="8677"/>
              </w:tabs>
              <w:ind w:left="34" w:hanging="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Esztétikai tapasztalat és horizont – </w:t>
            </w:r>
            <w:proofErr w:type="spellStart"/>
            <w:r w:rsidRPr="00327C0F">
              <w:rPr>
                <w:snapToGrid w:val="0"/>
                <w:color w:val="000000"/>
                <w:sz w:val="24"/>
                <w:szCs w:val="24"/>
              </w:rPr>
              <w:t>dialogicitás</w:t>
            </w:r>
            <w:proofErr w:type="spellEnd"/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 Gadamer és </w:t>
            </w:r>
            <w:proofErr w:type="spellStart"/>
            <w:r w:rsidRPr="00327C0F">
              <w:rPr>
                <w:snapToGrid w:val="0"/>
                <w:color w:val="000000"/>
                <w:sz w:val="24"/>
                <w:szCs w:val="24"/>
              </w:rPr>
              <w:t>Jauss</w:t>
            </w:r>
            <w:proofErr w:type="spellEnd"/>
            <w:r w:rsidRPr="00327C0F">
              <w:rPr>
                <w:snapToGrid w:val="0"/>
                <w:color w:val="000000"/>
                <w:sz w:val="24"/>
                <w:szCs w:val="24"/>
              </w:rPr>
              <w:t xml:space="preserve"> művészetfelfogásában</w:t>
            </w:r>
          </w:p>
        </w:tc>
      </w:tr>
      <w:tr w:rsidR="00FE7D46" w:rsidRPr="00327C0F" w:rsidTr="00975C41">
        <w:trPr>
          <w:trHeight w:val="1271"/>
        </w:trPr>
        <w:tc>
          <w:tcPr>
            <w:tcW w:w="9180" w:type="dxa"/>
            <w:gridSpan w:val="2"/>
          </w:tcPr>
          <w:p w:rsidR="00FE7D46" w:rsidRPr="00327C0F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27C0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526F1" w:rsidRPr="00327C0F" w:rsidRDefault="002526F1" w:rsidP="002526F1">
            <w:pPr>
              <w:ind w:right="-7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 xml:space="preserve">Gadamer: A szép aktualitása. Vál. Bacsó Béla. Bp., </w:t>
            </w:r>
            <w:proofErr w:type="spellStart"/>
            <w:r w:rsidRPr="00327C0F">
              <w:rPr>
                <w:sz w:val="24"/>
                <w:szCs w:val="24"/>
              </w:rPr>
              <w:t>T-Twins</w:t>
            </w:r>
            <w:proofErr w:type="spellEnd"/>
            <w:r w:rsidRPr="00327C0F">
              <w:rPr>
                <w:sz w:val="24"/>
                <w:szCs w:val="24"/>
              </w:rPr>
              <w:t>, 1994.</w:t>
            </w:r>
          </w:p>
          <w:p w:rsidR="002526F1" w:rsidRPr="00327C0F" w:rsidRDefault="002526F1" w:rsidP="002526F1">
            <w:pPr>
              <w:ind w:right="-7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 xml:space="preserve">Gadamer: Igazság és módszer. Ford. </w:t>
            </w:r>
            <w:proofErr w:type="spellStart"/>
            <w:r w:rsidRPr="00327C0F">
              <w:rPr>
                <w:sz w:val="24"/>
                <w:szCs w:val="24"/>
              </w:rPr>
              <w:t>Bonyhai</w:t>
            </w:r>
            <w:proofErr w:type="spellEnd"/>
            <w:r w:rsidRPr="00327C0F">
              <w:rPr>
                <w:sz w:val="24"/>
                <w:szCs w:val="24"/>
              </w:rPr>
              <w:t xml:space="preserve"> Gábor. Bp., Gondolat, 1984. 11-135. o.</w:t>
            </w:r>
          </w:p>
          <w:p w:rsidR="002526F1" w:rsidRPr="00327C0F" w:rsidRDefault="002526F1" w:rsidP="00327C0F">
            <w:pPr>
              <w:ind w:left="284" w:right="-6" w:hanging="284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 xml:space="preserve">Gadamer: Szöveg és interpretáció. Ford. </w:t>
            </w:r>
            <w:proofErr w:type="spellStart"/>
            <w:r w:rsidRPr="00327C0F">
              <w:rPr>
                <w:sz w:val="24"/>
                <w:szCs w:val="24"/>
              </w:rPr>
              <w:t>Hévizi</w:t>
            </w:r>
            <w:proofErr w:type="spellEnd"/>
            <w:r w:rsidRPr="00327C0F">
              <w:rPr>
                <w:sz w:val="24"/>
                <w:szCs w:val="24"/>
              </w:rPr>
              <w:t xml:space="preserve"> Ottó. </w:t>
            </w:r>
            <w:proofErr w:type="spellStart"/>
            <w:r w:rsidRPr="00327C0F">
              <w:rPr>
                <w:sz w:val="24"/>
                <w:szCs w:val="24"/>
              </w:rPr>
              <w:t>In</w:t>
            </w:r>
            <w:proofErr w:type="spellEnd"/>
            <w:r w:rsidRPr="00327C0F">
              <w:rPr>
                <w:sz w:val="24"/>
                <w:szCs w:val="24"/>
              </w:rPr>
              <w:t>: Szöveg és interpretáció. Szerk. Bacsó Béla. Bp., Cserépfalvi, 1991. 17-43. o.</w:t>
            </w:r>
          </w:p>
          <w:p w:rsidR="002526F1" w:rsidRPr="00327C0F" w:rsidRDefault="002526F1" w:rsidP="0028625D">
            <w:pPr>
              <w:spacing w:before="40"/>
              <w:rPr>
                <w:b/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>Ajánlott olvasmányok: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>Filozófiai hermeneutika. Vál. Bacsó Béla. Bp., 1990.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 xml:space="preserve">A hermeneutika elmélete I-II. Szöveggyűjtemény. Vál.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Fabiny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 Tibor. Szeged, 1987.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>Helikon, 1981/2-3.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>Athenaeum, 1991/1.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>Bacsó Béla: A megértés művészete – a művészet megértése. Bp., Magvető, 1989.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 xml:space="preserve">Bacsó Béla: Határpontok – hermeneutikai esszék. Bp.,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T-Twins-Lukács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Archivum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>, 1994.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 xml:space="preserve">Jean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Grondin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>: Bevezetés a filozófiai hermeneutikába. Ford. Nyírő Miklós. Bp., Osiris, 2002.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r w:rsidRPr="00327C0F">
              <w:rPr>
                <w:rFonts w:ascii="Times New Roman" w:hAnsi="Times New Roman"/>
                <w:sz w:val="24"/>
              </w:rPr>
              <w:t xml:space="preserve">Fehér M. István: Hermeneutikai tanulmányok I. Bp.,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L’Harmattan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>, 2001.</w:t>
            </w:r>
          </w:p>
          <w:p w:rsidR="002526F1" w:rsidRPr="00327C0F" w:rsidRDefault="002526F1" w:rsidP="002526F1">
            <w:pPr>
              <w:pStyle w:val="Trgylers"/>
              <w:ind w:left="0" w:firstLine="0"/>
              <w:rPr>
                <w:rFonts w:ascii="Times New Roman" w:hAnsi="Times New Roman"/>
                <w:sz w:val="24"/>
              </w:rPr>
            </w:pPr>
            <w:proofErr w:type="spellStart"/>
            <w:r w:rsidRPr="00327C0F">
              <w:rPr>
                <w:rFonts w:ascii="Times New Roman" w:hAnsi="Times New Roman"/>
                <w:sz w:val="24"/>
              </w:rPr>
              <w:t>Hermeneutische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Wege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. Hans –Georg Gadamer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zum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Hundersten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. Szerk. G.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Figal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, J.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Grondin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, D. Schmidt.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Mohr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27C0F">
              <w:rPr>
                <w:rFonts w:ascii="Times New Roman" w:hAnsi="Times New Roman"/>
                <w:sz w:val="24"/>
              </w:rPr>
              <w:t>Siebeck</w:t>
            </w:r>
            <w:proofErr w:type="spellEnd"/>
            <w:r w:rsidRPr="00327C0F">
              <w:rPr>
                <w:rFonts w:ascii="Times New Roman" w:hAnsi="Times New Roman"/>
                <w:sz w:val="24"/>
              </w:rPr>
              <w:t>, Tübingen, 2000.</w:t>
            </w:r>
          </w:p>
          <w:p w:rsidR="002526F1" w:rsidRPr="00327C0F" w:rsidRDefault="002526F1" w:rsidP="00327C0F">
            <w:pPr>
              <w:ind w:left="284" w:hanging="284"/>
              <w:jc w:val="both"/>
              <w:rPr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>Loboczky János: A műalkotás: „</w:t>
            </w:r>
            <w:proofErr w:type="gramStart"/>
            <w:r w:rsidRPr="00327C0F">
              <w:rPr>
                <w:sz w:val="24"/>
                <w:szCs w:val="24"/>
              </w:rPr>
              <w:t>A</w:t>
            </w:r>
            <w:proofErr w:type="gramEnd"/>
            <w:r w:rsidRPr="00327C0F">
              <w:rPr>
                <w:sz w:val="24"/>
                <w:szCs w:val="24"/>
              </w:rPr>
              <w:t xml:space="preserve"> létben való gyarapodás”. Bp., Akadémiai Kiadó, 1998. 11–17.</w:t>
            </w:r>
          </w:p>
          <w:p w:rsidR="00FE7D46" w:rsidRPr="00327C0F" w:rsidRDefault="002526F1" w:rsidP="00327C0F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27C0F">
              <w:rPr>
                <w:sz w:val="24"/>
                <w:szCs w:val="24"/>
              </w:rPr>
              <w:t>Loboczky János: Dialógusban lenni – hermeneutikai megközelítések. Eger, Líceum K</w:t>
            </w:r>
            <w:proofErr w:type="gramStart"/>
            <w:r w:rsidRPr="00327C0F">
              <w:rPr>
                <w:sz w:val="24"/>
                <w:szCs w:val="24"/>
              </w:rPr>
              <w:t>.,</w:t>
            </w:r>
            <w:proofErr w:type="gramEnd"/>
            <w:r w:rsidRPr="00327C0F">
              <w:rPr>
                <w:sz w:val="24"/>
                <w:szCs w:val="24"/>
              </w:rPr>
              <w:t xml:space="preserve"> 2006.</w:t>
            </w:r>
          </w:p>
        </w:tc>
      </w:tr>
      <w:tr w:rsidR="003218A2" w:rsidRPr="00327C0F" w:rsidTr="007D7BD7">
        <w:trPr>
          <w:trHeight w:val="338"/>
        </w:trPr>
        <w:tc>
          <w:tcPr>
            <w:tcW w:w="9180" w:type="dxa"/>
            <w:gridSpan w:val="2"/>
          </w:tcPr>
          <w:p w:rsidR="003218A2" w:rsidRPr="00327C0F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 xml:space="preserve">Tantárgy felelőse </w:t>
            </w:r>
            <w:r w:rsidRPr="00327C0F">
              <w:rPr>
                <w:sz w:val="24"/>
                <w:szCs w:val="24"/>
              </w:rPr>
              <w:t>(</w:t>
            </w:r>
            <w:r w:rsidRPr="00327C0F">
              <w:rPr>
                <w:i/>
                <w:sz w:val="24"/>
                <w:szCs w:val="24"/>
              </w:rPr>
              <w:t>név, beosztás, tud. fokozat</w:t>
            </w:r>
            <w:r w:rsidRPr="00327C0F">
              <w:rPr>
                <w:sz w:val="24"/>
                <w:szCs w:val="24"/>
              </w:rPr>
              <w:t>)</w:t>
            </w:r>
            <w:r w:rsidRPr="00327C0F">
              <w:rPr>
                <w:b/>
                <w:sz w:val="24"/>
                <w:szCs w:val="24"/>
              </w:rPr>
              <w:t>:</w:t>
            </w:r>
            <w:r w:rsidR="00FE7D46" w:rsidRPr="00327C0F">
              <w:rPr>
                <w:b/>
                <w:sz w:val="24"/>
                <w:szCs w:val="24"/>
              </w:rPr>
              <w:t xml:space="preserve"> </w:t>
            </w:r>
            <w:r w:rsidR="002526F1" w:rsidRPr="00327C0F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2526F1" w:rsidRPr="00327C0F">
              <w:rPr>
                <w:bCs/>
                <w:sz w:val="24"/>
                <w:szCs w:val="24"/>
              </w:rPr>
              <w:t>habil</w:t>
            </w:r>
            <w:proofErr w:type="spellEnd"/>
            <w:r w:rsidR="002526F1" w:rsidRPr="00327C0F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2526F1" w:rsidRPr="00327C0F">
              <w:rPr>
                <w:bCs/>
                <w:sz w:val="24"/>
                <w:szCs w:val="24"/>
              </w:rPr>
              <w:t>CSc</w:t>
            </w:r>
            <w:proofErr w:type="spellEnd"/>
            <w:r w:rsidR="002526F1" w:rsidRPr="00327C0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3218A2" w:rsidRPr="00327C0F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327C0F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27C0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27C0F">
              <w:rPr>
                <w:b/>
                <w:sz w:val="24"/>
                <w:szCs w:val="24"/>
              </w:rPr>
              <w:t>oktató(</w:t>
            </w:r>
            <w:proofErr w:type="gramEnd"/>
            <w:r w:rsidRPr="00327C0F">
              <w:rPr>
                <w:b/>
                <w:sz w:val="24"/>
                <w:szCs w:val="24"/>
              </w:rPr>
              <w:t xml:space="preserve">k), </w:t>
            </w:r>
            <w:r w:rsidRPr="00327C0F">
              <w:rPr>
                <w:sz w:val="24"/>
                <w:szCs w:val="24"/>
              </w:rPr>
              <w:t>ha vannak</w:t>
            </w:r>
            <w:r w:rsidRPr="00327C0F">
              <w:rPr>
                <w:b/>
                <w:sz w:val="24"/>
                <w:szCs w:val="24"/>
              </w:rPr>
              <w:t xml:space="preserve"> </w:t>
            </w:r>
            <w:r w:rsidRPr="00327C0F">
              <w:rPr>
                <w:sz w:val="24"/>
                <w:szCs w:val="24"/>
              </w:rPr>
              <w:t>(</w:t>
            </w:r>
            <w:r w:rsidRPr="00327C0F">
              <w:rPr>
                <w:i/>
                <w:sz w:val="24"/>
                <w:szCs w:val="24"/>
              </w:rPr>
              <w:t>név, beosztás, tud. fokozat</w:t>
            </w:r>
            <w:r w:rsidRPr="00327C0F">
              <w:rPr>
                <w:sz w:val="24"/>
                <w:szCs w:val="24"/>
              </w:rPr>
              <w:t>)</w:t>
            </w:r>
            <w:r w:rsidRPr="00327C0F">
              <w:rPr>
                <w:b/>
                <w:sz w:val="24"/>
                <w:szCs w:val="24"/>
              </w:rPr>
              <w:t>:</w:t>
            </w:r>
            <w:r w:rsidR="00FE7D46" w:rsidRPr="00327C0F">
              <w:rPr>
                <w:b/>
                <w:sz w:val="24"/>
                <w:szCs w:val="24"/>
              </w:rPr>
              <w:t xml:space="preserve"> </w:t>
            </w:r>
            <w:r w:rsidR="002526F1" w:rsidRPr="00327C0F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2526F1" w:rsidRPr="00327C0F">
              <w:rPr>
                <w:bCs/>
                <w:sz w:val="24"/>
                <w:szCs w:val="24"/>
              </w:rPr>
              <w:t>habil</w:t>
            </w:r>
            <w:proofErr w:type="spellEnd"/>
            <w:r w:rsidR="002526F1" w:rsidRPr="00327C0F">
              <w:rPr>
                <w:bCs/>
                <w:sz w:val="24"/>
                <w:szCs w:val="24"/>
              </w:rPr>
              <w:t xml:space="preserve">. Loboczky János </w:t>
            </w:r>
            <w:proofErr w:type="spellStart"/>
            <w:r w:rsidR="002526F1" w:rsidRPr="00327C0F">
              <w:rPr>
                <w:bCs/>
                <w:sz w:val="24"/>
                <w:szCs w:val="24"/>
              </w:rPr>
              <w:t>CSc</w:t>
            </w:r>
            <w:proofErr w:type="spellEnd"/>
            <w:r w:rsidR="002526F1" w:rsidRPr="00327C0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8E5F9A" w:rsidRPr="00623158" w:rsidRDefault="008E5F9A" w:rsidP="003218A2">
      <w:pPr>
        <w:rPr>
          <w:sz w:val="2"/>
          <w:szCs w:val="2"/>
        </w:rPr>
      </w:pPr>
    </w:p>
    <w:sectPr w:rsidR="008E5F9A" w:rsidRPr="00623158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33" w:rsidRDefault="00671333" w:rsidP="0094340E">
      <w:r>
        <w:separator/>
      </w:r>
    </w:p>
  </w:endnote>
  <w:endnote w:type="continuationSeparator" w:id="0">
    <w:p w:rsidR="00671333" w:rsidRDefault="0067133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33" w:rsidRDefault="00671333" w:rsidP="0094340E">
      <w:r>
        <w:separator/>
      </w:r>
    </w:p>
  </w:footnote>
  <w:footnote w:type="continuationSeparator" w:id="0">
    <w:p w:rsidR="00671333" w:rsidRDefault="00671333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C6"/>
    <w:multiLevelType w:val="hybridMultilevel"/>
    <w:tmpl w:val="1040E9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26A16"/>
    <w:multiLevelType w:val="hybridMultilevel"/>
    <w:tmpl w:val="D2EAEA80"/>
    <w:lvl w:ilvl="0" w:tplc="ADF64246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A3BBB"/>
    <w:multiLevelType w:val="hybridMultilevel"/>
    <w:tmpl w:val="51CC88BC"/>
    <w:lvl w:ilvl="0" w:tplc="07D0FC0A">
      <w:numFmt w:val="bullet"/>
      <w:lvlText w:val="–"/>
      <w:lvlJc w:val="left"/>
      <w:pPr>
        <w:ind w:left="1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7332E"/>
    <w:rsid w:val="00130CDD"/>
    <w:rsid w:val="00167F7F"/>
    <w:rsid w:val="001E1BC9"/>
    <w:rsid w:val="002526F1"/>
    <w:rsid w:val="0028625D"/>
    <w:rsid w:val="003218A2"/>
    <w:rsid w:val="00327C0F"/>
    <w:rsid w:val="00343065"/>
    <w:rsid w:val="003A78DD"/>
    <w:rsid w:val="00623158"/>
    <w:rsid w:val="00634C96"/>
    <w:rsid w:val="00671333"/>
    <w:rsid w:val="00673458"/>
    <w:rsid w:val="00766CEA"/>
    <w:rsid w:val="007D7BD7"/>
    <w:rsid w:val="00813D88"/>
    <w:rsid w:val="00890E5A"/>
    <w:rsid w:val="008B32D1"/>
    <w:rsid w:val="008E5F9A"/>
    <w:rsid w:val="008F3139"/>
    <w:rsid w:val="0094340E"/>
    <w:rsid w:val="00945030"/>
    <w:rsid w:val="00965159"/>
    <w:rsid w:val="00975C41"/>
    <w:rsid w:val="009E392E"/>
    <w:rsid w:val="009E5E40"/>
    <w:rsid w:val="009F7810"/>
    <w:rsid w:val="00A47319"/>
    <w:rsid w:val="00AD3B1D"/>
    <w:rsid w:val="00B648CC"/>
    <w:rsid w:val="00C1422D"/>
    <w:rsid w:val="00D219ED"/>
    <w:rsid w:val="00D445DE"/>
    <w:rsid w:val="00D82F9A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Listaszerbekezds">
    <w:name w:val="List Paragraph"/>
    <w:basedOn w:val="Norml"/>
    <w:uiPriority w:val="34"/>
    <w:qFormat/>
    <w:rsid w:val="00252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5491-C69F-4D0D-9ABE-4F0687E6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2013-07-08T07:59:00Z</dcterms:created>
  <dcterms:modified xsi:type="dcterms:W3CDTF">2013-07-08T07:59:00Z</dcterms:modified>
</cp:coreProperties>
</file>