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4449A2" w:rsidRPr="003003BF" w:rsidTr="00C2410F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9A2" w:rsidRPr="003003BF" w:rsidRDefault="004449A2" w:rsidP="004449A2">
            <w:pPr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>Tantárgy neve:</w:t>
            </w:r>
            <w:r w:rsidR="00557D66">
              <w:rPr>
                <w:b/>
                <w:sz w:val="24"/>
                <w:szCs w:val="24"/>
              </w:rPr>
              <w:t xml:space="preserve"> </w:t>
            </w:r>
            <w:r w:rsidRPr="003003BF">
              <w:rPr>
                <w:b/>
                <w:sz w:val="24"/>
                <w:szCs w:val="24"/>
              </w:rPr>
              <w:t>Kanonikus művek II.</w:t>
            </w:r>
          </w:p>
          <w:p w:rsidR="004449A2" w:rsidRPr="003003BF" w:rsidRDefault="004449A2" w:rsidP="004449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>Kódja: NBB_SB178G3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9A2" w:rsidRPr="003003BF" w:rsidRDefault="004449A2" w:rsidP="004449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3003BF" w:rsidTr="007D7BD7">
        <w:tc>
          <w:tcPr>
            <w:tcW w:w="9180" w:type="dxa"/>
            <w:gridSpan w:val="2"/>
          </w:tcPr>
          <w:p w:rsidR="003218A2" w:rsidRPr="003003BF" w:rsidRDefault="003218A2" w:rsidP="004449A2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A tanóra </w:t>
            </w:r>
            <w:proofErr w:type="gramStart"/>
            <w:r w:rsidRPr="003003BF">
              <w:rPr>
                <w:sz w:val="24"/>
                <w:szCs w:val="24"/>
              </w:rPr>
              <w:t>típusa</w:t>
            </w:r>
            <w:r w:rsidRPr="003003BF">
              <w:rPr>
                <w:rStyle w:val="Lbjegyzet-hivatkozs"/>
                <w:sz w:val="24"/>
                <w:szCs w:val="24"/>
              </w:rPr>
              <w:footnoteReference w:id="1"/>
            </w:r>
            <w:r w:rsidRPr="003003BF">
              <w:rPr>
                <w:sz w:val="24"/>
                <w:szCs w:val="24"/>
              </w:rPr>
              <w:t>:</w:t>
            </w:r>
            <w:proofErr w:type="gramEnd"/>
            <w:r w:rsidR="00FE7D46" w:rsidRPr="003003BF">
              <w:rPr>
                <w:sz w:val="24"/>
                <w:szCs w:val="24"/>
              </w:rPr>
              <w:t xml:space="preserve"> </w:t>
            </w:r>
            <w:r w:rsidR="002D2375" w:rsidRPr="004449A2">
              <w:rPr>
                <w:b/>
                <w:sz w:val="24"/>
                <w:szCs w:val="24"/>
              </w:rPr>
              <w:t>szeminárium</w:t>
            </w:r>
            <w:r w:rsidRPr="003003BF">
              <w:rPr>
                <w:sz w:val="24"/>
                <w:szCs w:val="24"/>
              </w:rPr>
              <w:tab/>
              <w:t xml:space="preserve">és száma: </w:t>
            </w:r>
            <w:r w:rsidR="004449A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3003BF" w:rsidTr="007D7BD7">
        <w:tc>
          <w:tcPr>
            <w:tcW w:w="9180" w:type="dxa"/>
            <w:gridSpan w:val="2"/>
          </w:tcPr>
          <w:p w:rsidR="003218A2" w:rsidRPr="003003BF" w:rsidRDefault="003218A2" w:rsidP="003003BF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>A számonkérés módja (</w:t>
            </w:r>
            <w:proofErr w:type="spellStart"/>
            <w:r w:rsidRPr="003003BF">
              <w:rPr>
                <w:sz w:val="24"/>
                <w:szCs w:val="24"/>
              </w:rPr>
              <w:t>koll</w:t>
            </w:r>
            <w:proofErr w:type="spellEnd"/>
            <w:r w:rsidRPr="003003BF">
              <w:rPr>
                <w:sz w:val="24"/>
                <w:szCs w:val="24"/>
              </w:rPr>
              <w:t>./</w:t>
            </w:r>
            <w:proofErr w:type="spellStart"/>
            <w:r w:rsidRPr="003003BF">
              <w:rPr>
                <w:sz w:val="24"/>
                <w:szCs w:val="24"/>
              </w:rPr>
              <w:t>gyj</w:t>
            </w:r>
            <w:proofErr w:type="spellEnd"/>
            <w:r w:rsidRPr="003003BF">
              <w:rPr>
                <w:sz w:val="24"/>
                <w:szCs w:val="24"/>
              </w:rPr>
              <w:t>./</w:t>
            </w:r>
            <w:proofErr w:type="gramStart"/>
            <w:r w:rsidRPr="003003BF">
              <w:rPr>
                <w:sz w:val="24"/>
                <w:szCs w:val="24"/>
              </w:rPr>
              <w:t>egyéb</w:t>
            </w:r>
            <w:r w:rsidRPr="003003BF">
              <w:rPr>
                <w:rStyle w:val="Lbjegyzet-hivatkozs"/>
                <w:sz w:val="24"/>
                <w:szCs w:val="24"/>
              </w:rPr>
              <w:footnoteReference w:id="2"/>
            </w:r>
            <w:r w:rsidRPr="003003BF">
              <w:rPr>
                <w:sz w:val="24"/>
                <w:szCs w:val="24"/>
              </w:rPr>
              <w:t>)</w:t>
            </w:r>
            <w:proofErr w:type="gramEnd"/>
            <w:r w:rsidRPr="003003BF">
              <w:rPr>
                <w:sz w:val="24"/>
                <w:szCs w:val="24"/>
              </w:rPr>
              <w:t xml:space="preserve">: </w:t>
            </w:r>
            <w:r w:rsidR="002D2375" w:rsidRPr="004449A2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3003B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003BF" w:rsidRDefault="003218A2" w:rsidP="004449A2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>A tantárgy tantervi helye (hányadik félév):</w:t>
            </w:r>
            <w:r w:rsidR="00FE7D46" w:rsidRPr="003003BF">
              <w:rPr>
                <w:sz w:val="24"/>
                <w:szCs w:val="24"/>
              </w:rPr>
              <w:t xml:space="preserve"> </w:t>
            </w:r>
            <w:r w:rsidR="004449A2" w:rsidRPr="004449A2">
              <w:rPr>
                <w:b/>
                <w:sz w:val="24"/>
                <w:szCs w:val="24"/>
              </w:rPr>
              <w:t>I</w:t>
            </w:r>
            <w:r w:rsidR="002D2375" w:rsidRPr="004449A2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3003B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003BF" w:rsidRDefault="003218A2" w:rsidP="003003BF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Előtanulmányi feltételek </w:t>
            </w:r>
            <w:r w:rsidRPr="003003BF">
              <w:rPr>
                <w:i/>
                <w:sz w:val="24"/>
                <w:szCs w:val="24"/>
              </w:rPr>
              <w:t>(ha vannak)</w:t>
            </w:r>
            <w:r w:rsidRPr="003003BF">
              <w:rPr>
                <w:sz w:val="24"/>
                <w:szCs w:val="24"/>
              </w:rPr>
              <w:t>:</w:t>
            </w:r>
            <w:r w:rsidRPr="003003BF">
              <w:rPr>
                <w:i/>
                <w:sz w:val="24"/>
                <w:szCs w:val="24"/>
              </w:rPr>
              <w:t xml:space="preserve"> </w:t>
            </w:r>
            <w:r w:rsidR="002D2375" w:rsidRPr="003003BF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3003BF" w:rsidTr="00975C41">
        <w:trPr>
          <w:trHeight w:val="724"/>
        </w:trPr>
        <w:tc>
          <w:tcPr>
            <w:tcW w:w="9180" w:type="dxa"/>
            <w:gridSpan w:val="2"/>
          </w:tcPr>
          <w:p w:rsidR="00FE7D46" w:rsidRPr="003003BF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>Tantárgyleírás</w:t>
            </w:r>
            <w:r w:rsidRPr="003003BF">
              <w:rPr>
                <w:sz w:val="24"/>
                <w:szCs w:val="24"/>
              </w:rPr>
              <w:t>:</w:t>
            </w:r>
          </w:p>
          <w:p w:rsidR="00FE7D46" w:rsidRPr="003003BF" w:rsidRDefault="002D2375" w:rsidP="002D2375">
            <w:pPr>
              <w:spacing w:after="120"/>
              <w:jc w:val="both"/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A szövegolvasó szeminárium második egysége három paradigmatikus jelentőségű tanulmány tárgyalására vállalkozik. A három tanulmány mindegyike más és más módon világítja meg a klasszikus rendszerek szétesése után a művészetről való gondolkodás új útjait. – A modern értekező próza e klasszikusainak szoros olvasását korántsem pusztán járulékos nyelvi, retorikai és költői kvalitásaik is elengedhetetlenné teszik. Az esztétikai kérdésfeltevés mindegyik esetben egészen új horizonton és váratlanul új fogalmi hálóban nyer kifejtést. E radikálisan új és egymástól radikálisan különböző művészetfilozófiai vázlatok mégis egymás mellett olvashatók akár tematikus vagy problématörténeti szempontok szerint is. </w:t>
            </w:r>
            <w:proofErr w:type="gramStart"/>
            <w:r w:rsidRPr="003003BF">
              <w:rPr>
                <w:sz w:val="24"/>
                <w:szCs w:val="24"/>
              </w:rPr>
              <w:t xml:space="preserve">A platonikus metafizikus esztétikával való szakítás vagy szembefordulás változatai; egyfajta fundamentális igény; a műalkotás fogalmának újszerű kidolgozásai; az eredet fogalma; az újkori haladáshit radikális elvetésének összefüggése a művészetről való eszmélődéssel stb. E szempontok is jelzik, hogy e különböző szövegek között azonban legfőbb összekötő kapocs és leginkább értelmezésre szoruló, hogy más és más módon, de mindegyik egy radikálisan új történelem-koncepció jegyében bontakozik ki, és vezet be ekképp a történeti megértés módszertani </w:t>
            </w:r>
            <w:proofErr w:type="spellStart"/>
            <w:r w:rsidRPr="003003BF">
              <w:rPr>
                <w:sz w:val="24"/>
                <w:szCs w:val="24"/>
              </w:rPr>
              <w:t>dilammáiba</w:t>
            </w:r>
            <w:proofErr w:type="spellEnd"/>
            <w:r w:rsidRPr="003003BF">
              <w:rPr>
                <w:sz w:val="24"/>
                <w:szCs w:val="24"/>
              </w:rPr>
              <w:t>.</w:t>
            </w:r>
            <w:proofErr w:type="gramEnd"/>
            <w:r w:rsidRPr="003003BF">
              <w:rPr>
                <w:sz w:val="24"/>
                <w:szCs w:val="24"/>
              </w:rPr>
              <w:t xml:space="preserve"> E rendkívüli </w:t>
            </w:r>
            <w:proofErr w:type="spellStart"/>
            <w:r w:rsidRPr="003003BF">
              <w:rPr>
                <w:sz w:val="24"/>
                <w:szCs w:val="24"/>
              </w:rPr>
              <w:t>összetettségű</w:t>
            </w:r>
            <w:proofErr w:type="spellEnd"/>
            <w:r w:rsidRPr="003003BF">
              <w:rPr>
                <w:sz w:val="24"/>
                <w:szCs w:val="24"/>
              </w:rPr>
              <w:t xml:space="preserve"> és innovatív erejű szövegek felől megközelíthetővé válik a 20. század és a jelenkor esztétikai gondolkodásának számtalan iránya.</w:t>
            </w:r>
          </w:p>
        </w:tc>
      </w:tr>
      <w:tr w:rsidR="00FE7D46" w:rsidRPr="003003BF" w:rsidTr="00975C41">
        <w:trPr>
          <w:trHeight w:val="1271"/>
        </w:trPr>
        <w:tc>
          <w:tcPr>
            <w:tcW w:w="9180" w:type="dxa"/>
            <w:gridSpan w:val="2"/>
          </w:tcPr>
          <w:p w:rsidR="00FE7D46" w:rsidRPr="003003BF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003B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Friedrich Nietzsche: A tragédia </w:t>
            </w:r>
            <w:proofErr w:type="gramStart"/>
            <w:r w:rsidRPr="003003BF">
              <w:rPr>
                <w:sz w:val="24"/>
                <w:szCs w:val="24"/>
              </w:rPr>
              <w:t>születése</w:t>
            </w:r>
            <w:proofErr w:type="gramEnd"/>
            <w:r w:rsidRPr="003003BF">
              <w:rPr>
                <w:sz w:val="24"/>
                <w:szCs w:val="24"/>
              </w:rPr>
              <w:t xml:space="preserve"> avagy Görögség és pesszimizmus (ford. Kertész Imre, Budapest: Magvető 2003)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>- Martin Heidegger: A műalkotás eredete (ford. Bacsó Béla, Budapest: Európa 1988)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- Walter Benjamin: A műalkotás a technikai reprodukálhatóság korában (Kurucz Andrea új fordítását átdolgozta </w:t>
            </w:r>
            <w:proofErr w:type="spellStart"/>
            <w:r w:rsidRPr="003003BF">
              <w:rPr>
                <w:sz w:val="24"/>
                <w:szCs w:val="24"/>
              </w:rPr>
              <w:t>Mélyi</w:t>
            </w:r>
            <w:proofErr w:type="spellEnd"/>
            <w:r w:rsidRPr="003003BF">
              <w:rPr>
                <w:sz w:val="24"/>
                <w:szCs w:val="24"/>
              </w:rPr>
              <w:t xml:space="preserve"> József, </w:t>
            </w:r>
            <w:hyperlink r:id="rId7" w:history="1">
              <w:r w:rsidRPr="003003BF">
                <w:rPr>
                  <w:rStyle w:val="Hiperhivatkozs"/>
                  <w:sz w:val="24"/>
                  <w:szCs w:val="24"/>
                </w:rPr>
                <w:t>www.aura.c3.hu/walter_benjamin.html</w:t>
              </w:r>
            </w:hyperlink>
            <w:r w:rsidRPr="003003BF">
              <w:rPr>
                <w:sz w:val="24"/>
                <w:szCs w:val="24"/>
              </w:rPr>
              <w:t>)</w:t>
            </w:r>
          </w:p>
          <w:p w:rsidR="002D2375" w:rsidRPr="003003BF" w:rsidRDefault="002D2375" w:rsidP="003F4DB4">
            <w:pPr>
              <w:spacing w:before="40" w:after="40"/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>Ajánlott irodalom: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- </w:t>
            </w:r>
            <w:proofErr w:type="gramStart"/>
            <w:r w:rsidRPr="003003BF">
              <w:rPr>
                <w:sz w:val="24"/>
                <w:szCs w:val="24"/>
              </w:rPr>
              <w:t>Paul</w:t>
            </w:r>
            <w:proofErr w:type="gramEnd"/>
            <w:r w:rsidRPr="003003BF">
              <w:rPr>
                <w:sz w:val="24"/>
                <w:szCs w:val="24"/>
              </w:rPr>
              <w:t xml:space="preserve"> de Man: Genezis és genealógia (Nietzsche), </w:t>
            </w:r>
            <w:proofErr w:type="spellStart"/>
            <w:r w:rsidRPr="003003BF">
              <w:rPr>
                <w:sz w:val="24"/>
                <w:szCs w:val="24"/>
              </w:rPr>
              <w:t>in</w:t>
            </w:r>
            <w:proofErr w:type="spellEnd"/>
            <w:r w:rsidRPr="003003BF">
              <w:rPr>
                <w:sz w:val="24"/>
                <w:szCs w:val="24"/>
              </w:rPr>
              <w:t xml:space="preserve">: </w:t>
            </w:r>
            <w:proofErr w:type="spellStart"/>
            <w:r w:rsidRPr="003003BF">
              <w:rPr>
                <w:sz w:val="24"/>
                <w:szCs w:val="24"/>
              </w:rPr>
              <w:t>uő</w:t>
            </w:r>
            <w:proofErr w:type="spellEnd"/>
            <w:r w:rsidRPr="003003BF">
              <w:rPr>
                <w:sz w:val="24"/>
                <w:szCs w:val="24"/>
              </w:rPr>
              <w:t xml:space="preserve">, Az olvasás allegóriái (ford. Fogarasi György, Szeged: </w:t>
            </w:r>
            <w:proofErr w:type="spellStart"/>
            <w:r w:rsidRPr="003003BF">
              <w:rPr>
                <w:sz w:val="24"/>
                <w:szCs w:val="24"/>
              </w:rPr>
              <w:t>Ictus</w:t>
            </w:r>
            <w:proofErr w:type="spellEnd"/>
            <w:r w:rsidRPr="003003BF">
              <w:rPr>
                <w:sz w:val="24"/>
                <w:szCs w:val="24"/>
              </w:rPr>
              <w:t xml:space="preserve"> 1999)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>- A francia Nietzsche-recepció, Athenaeum, I. kötet 3. füzet (1992)</w:t>
            </w:r>
          </w:p>
          <w:p w:rsidR="002D2375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 xml:space="preserve">- Hans-Georg Gadamer: Bevezetés </w:t>
            </w:r>
            <w:proofErr w:type="gramStart"/>
            <w:r w:rsidRPr="003003BF">
              <w:rPr>
                <w:sz w:val="24"/>
                <w:szCs w:val="24"/>
              </w:rPr>
              <w:t>A</w:t>
            </w:r>
            <w:proofErr w:type="gramEnd"/>
            <w:r w:rsidRPr="003003BF">
              <w:rPr>
                <w:sz w:val="24"/>
                <w:szCs w:val="24"/>
              </w:rPr>
              <w:t xml:space="preserve"> műalkotás eredete című tanulmányhoz, </w:t>
            </w:r>
            <w:proofErr w:type="spellStart"/>
            <w:r w:rsidRPr="003003BF">
              <w:rPr>
                <w:sz w:val="24"/>
                <w:szCs w:val="24"/>
              </w:rPr>
              <w:t>in</w:t>
            </w:r>
            <w:proofErr w:type="spellEnd"/>
            <w:r w:rsidRPr="003003BF">
              <w:rPr>
                <w:sz w:val="24"/>
                <w:szCs w:val="24"/>
              </w:rPr>
              <w:t>: Martin Heidegger, A műalkotás eredete (ford. Bacsó Béla, Budapest: Európa 1988)</w:t>
            </w:r>
          </w:p>
          <w:p w:rsidR="00FE7D46" w:rsidRPr="003003BF" w:rsidRDefault="002D2375" w:rsidP="002D2375">
            <w:pPr>
              <w:rPr>
                <w:sz w:val="24"/>
                <w:szCs w:val="24"/>
              </w:rPr>
            </w:pPr>
            <w:r w:rsidRPr="003003BF">
              <w:rPr>
                <w:sz w:val="24"/>
                <w:szCs w:val="24"/>
              </w:rPr>
              <w:t>- Radnóti Sándor: Krédó és rezignáció: esztétikai-politikai tanulmány Walter Benjaminról (Budapest: Argumentum 1999)</w:t>
            </w:r>
          </w:p>
        </w:tc>
      </w:tr>
      <w:tr w:rsidR="003218A2" w:rsidRPr="003003BF" w:rsidTr="007D7BD7">
        <w:trPr>
          <w:trHeight w:val="338"/>
        </w:trPr>
        <w:tc>
          <w:tcPr>
            <w:tcW w:w="9180" w:type="dxa"/>
            <w:gridSpan w:val="2"/>
          </w:tcPr>
          <w:p w:rsidR="003218A2" w:rsidRPr="003003BF" w:rsidRDefault="003218A2" w:rsidP="003003B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 xml:space="preserve">Tantárgy felelőse </w:t>
            </w:r>
            <w:r w:rsidRPr="003003BF">
              <w:rPr>
                <w:sz w:val="24"/>
                <w:szCs w:val="24"/>
              </w:rPr>
              <w:t>(</w:t>
            </w:r>
            <w:r w:rsidRPr="003003BF">
              <w:rPr>
                <w:i/>
                <w:sz w:val="24"/>
                <w:szCs w:val="24"/>
              </w:rPr>
              <w:t>név, beosztás, tud. fokozat</w:t>
            </w:r>
            <w:r w:rsidRPr="003003BF">
              <w:rPr>
                <w:sz w:val="24"/>
                <w:szCs w:val="24"/>
              </w:rPr>
              <w:t>)</w:t>
            </w:r>
            <w:r w:rsidRPr="003003BF">
              <w:rPr>
                <w:b/>
                <w:sz w:val="24"/>
                <w:szCs w:val="24"/>
              </w:rPr>
              <w:t>:</w:t>
            </w:r>
            <w:r w:rsidR="00FE7D46" w:rsidRPr="003003BF">
              <w:rPr>
                <w:b/>
                <w:sz w:val="24"/>
                <w:szCs w:val="24"/>
              </w:rPr>
              <w:t xml:space="preserve"> </w:t>
            </w:r>
            <w:r w:rsidR="002D2375" w:rsidRPr="003003BF">
              <w:rPr>
                <w:bCs/>
                <w:sz w:val="24"/>
                <w:szCs w:val="24"/>
              </w:rPr>
              <w:t>Dr. Szabó Csaba PhD főiskolai docens</w:t>
            </w:r>
          </w:p>
        </w:tc>
      </w:tr>
      <w:tr w:rsidR="003218A2" w:rsidRPr="003003BF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003BF" w:rsidRDefault="003218A2" w:rsidP="003003B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003B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003BF">
              <w:rPr>
                <w:b/>
                <w:sz w:val="24"/>
                <w:szCs w:val="24"/>
              </w:rPr>
              <w:t>oktató(</w:t>
            </w:r>
            <w:proofErr w:type="gramEnd"/>
            <w:r w:rsidRPr="003003BF">
              <w:rPr>
                <w:b/>
                <w:sz w:val="24"/>
                <w:szCs w:val="24"/>
              </w:rPr>
              <w:t xml:space="preserve">k), </w:t>
            </w:r>
            <w:r w:rsidRPr="003003BF">
              <w:rPr>
                <w:sz w:val="24"/>
                <w:szCs w:val="24"/>
              </w:rPr>
              <w:t>ha vannak</w:t>
            </w:r>
            <w:r w:rsidRPr="003003BF">
              <w:rPr>
                <w:b/>
                <w:sz w:val="24"/>
                <w:szCs w:val="24"/>
              </w:rPr>
              <w:t xml:space="preserve"> </w:t>
            </w:r>
            <w:r w:rsidRPr="003003BF">
              <w:rPr>
                <w:sz w:val="24"/>
                <w:szCs w:val="24"/>
              </w:rPr>
              <w:t>(</w:t>
            </w:r>
            <w:r w:rsidRPr="003003BF">
              <w:rPr>
                <w:i/>
                <w:sz w:val="24"/>
                <w:szCs w:val="24"/>
              </w:rPr>
              <w:t>név, beosztás, tud. fokozat</w:t>
            </w:r>
            <w:r w:rsidRPr="003003BF">
              <w:rPr>
                <w:sz w:val="24"/>
                <w:szCs w:val="24"/>
              </w:rPr>
              <w:t>)</w:t>
            </w:r>
            <w:r w:rsidRPr="003003BF">
              <w:rPr>
                <w:b/>
                <w:sz w:val="24"/>
                <w:szCs w:val="24"/>
              </w:rPr>
              <w:t>:</w:t>
            </w:r>
            <w:r w:rsidR="00FE7D46" w:rsidRPr="003003BF">
              <w:rPr>
                <w:b/>
                <w:sz w:val="24"/>
                <w:szCs w:val="24"/>
              </w:rPr>
              <w:t xml:space="preserve"> </w:t>
            </w:r>
            <w:r w:rsidR="002D2375" w:rsidRPr="003003BF">
              <w:rPr>
                <w:bCs/>
                <w:sz w:val="24"/>
                <w:szCs w:val="24"/>
              </w:rPr>
              <w:t>Dr. Antal Éva PhD főiskolai tanár, Dr. Szabó Csaba PhD főiskolai docens</w:t>
            </w:r>
          </w:p>
        </w:tc>
      </w:tr>
    </w:tbl>
    <w:p w:rsidR="008E5F9A" w:rsidRPr="003F4DB4" w:rsidRDefault="008E5F9A" w:rsidP="003218A2">
      <w:pPr>
        <w:rPr>
          <w:sz w:val="2"/>
          <w:szCs w:val="2"/>
        </w:rPr>
      </w:pPr>
    </w:p>
    <w:sectPr w:rsidR="008E5F9A" w:rsidRPr="003F4DB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0F" w:rsidRDefault="0025370F" w:rsidP="0094340E">
      <w:r>
        <w:separator/>
      </w:r>
    </w:p>
  </w:endnote>
  <w:endnote w:type="continuationSeparator" w:id="0">
    <w:p w:rsidR="0025370F" w:rsidRDefault="0025370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0F" w:rsidRDefault="0025370F" w:rsidP="0094340E">
      <w:r>
        <w:separator/>
      </w:r>
    </w:p>
  </w:footnote>
  <w:footnote w:type="continuationSeparator" w:id="0">
    <w:p w:rsidR="0025370F" w:rsidRDefault="0025370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74F23"/>
    <w:rsid w:val="001E1BC9"/>
    <w:rsid w:val="0025370F"/>
    <w:rsid w:val="002D2375"/>
    <w:rsid w:val="003003BF"/>
    <w:rsid w:val="003218A2"/>
    <w:rsid w:val="00343065"/>
    <w:rsid w:val="003F4DB4"/>
    <w:rsid w:val="004449A2"/>
    <w:rsid w:val="00557D66"/>
    <w:rsid w:val="00634C96"/>
    <w:rsid w:val="00673458"/>
    <w:rsid w:val="00766CEA"/>
    <w:rsid w:val="007D7BD7"/>
    <w:rsid w:val="008619FB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character" w:styleId="Hiperhivatkozs">
    <w:name w:val="Hyperlink"/>
    <w:basedOn w:val="Bekezdsalapbettpusa"/>
    <w:rsid w:val="002D2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ra.c3.hu/walter_benjam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D34-1FB6-4EA7-ADAB-E0F9ABE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2864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http://www.aura.c3.hu/walter_benjamin.html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2013-07-08T07:32:00Z</dcterms:created>
  <dcterms:modified xsi:type="dcterms:W3CDTF">2013-07-08T07:32:00Z</dcterms:modified>
</cp:coreProperties>
</file>