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8" w:rsidRPr="00CA24B4" w:rsidRDefault="00D92FD8" w:rsidP="00D92FD8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Style w:val="Rcsostblzat"/>
        <w:tblW w:w="0" w:type="auto"/>
        <w:tblInd w:w="250" w:type="dxa"/>
        <w:tblLook w:val="01E0"/>
      </w:tblPr>
      <w:tblGrid>
        <w:gridCol w:w="6806"/>
        <w:gridCol w:w="2232"/>
      </w:tblGrid>
      <w:tr w:rsidR="00D92FD8" w:rsidRPr="008C485B" w:rsidTr="009F4D3F">
        <w:tc>
          <w:tcPr>
            <w:tcW w:w="7088" w:type="dxa"/>
            <w:tcMar>
              <w:top w:w="57" w:type="dxa"/>
              <w:bottom w:w="57" w:type="dxa"/>
            </w:tcMar>
          </w:tcPr>
          <w:p w:rsidR="00D92FD8" w:rsidRDefault="00D92FD8" w:rsidP="00B72B3E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B72B3E">
              <w:rPr>
                <w:b/>
                <w:sz w:val="24"/>
                <w:szCs w:val="24"/>
              </w:rPr>
              <w:t>Képzőművészetek esztétikája</w:t>
            </w:r>
          </w:p>
          <w:p w:rsidR="00B72B3E" w:rsidRPr="008C485B" w:rsidRDefault="00B72B3E" w:rsidP="00B72B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NBB_SB170K3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D92FD8" w:rsidRPr="008C485B" w:rsidRDefault="00D92FD8" w:rsidP="00B72B3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B72B3E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9F4D3F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B72B3E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B72B3E">
              <w:rPr>
                <w:b/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B72B3E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9F4D3F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B72B3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B72B3E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65B6B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965B6B">
              <w:rPr>
                <w:b/>
                <w:sz w:val="24"/>
                <w:szCs w:val="24"/>
              </w:rPr>
              <w:t>IV.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65B6B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965B6B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9F4D3F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65B6B" w:rsidRDefault="00965B6B" w:rsidP="00965B6B">
            <w:pPr>
              <w:spacing w:before="120" w:after="120"/>
              <w:rPr>
                <w:iCs/>
              </w:rPr>
            </w:pPr>
            <w:r>
              <w:rPr>
                <w:b/>
                <w:bCs/>
              </w:rPr>
              <w:t>Tantárgy leírása:</w:t>
            </w:r>
          </w:p>
          <w:p w:rsidR="00965B6B" w:rsidRPr="006D5E59" w:rsidRDefault="00965B6B" w:rsidP="00965B6B">
            <w:r>
              <w:t>A tantárgy célja, hogy a hallgatók megismerjék a különböző képfilozófiai elméleteket (</w:t>
            </w:r>
            <w:proofErr w:type="spellStart"/>
            <w:r>
              <w:t>Panofsky</w:t>
            </w:r>
            <w:proofErr w:type="spellEnd"/>
            <w:r>
              <w:t xml:space="preserve">, </w:t>
            </w:r>
            <w:proofErr w:type="spellStart"/>
            <w:r>
              <w:t>Imdahl</w:t>
            </w:r>
            <w:proofErr w:type="spellEnd"/>
            <w:r>
              <w:t xml:space="preserve">, </w:t>
            </w:r>
            <w:proofErr w:type="spellStart"/>
            <w:r>
              <w:t>Danto</w:t>
            </w:r>
            <w:proofErr w:type="spellEnd"/>
            <w:r>
              <w:t xml:space="preserve">, Gadamer, </w:t>
            </w:r>
            <w:proofErr w:type="spellStart"/>
            <w:r>
              <w:t>Boehm</w:t>
            </w:r>
            <w:proofErr w:type="spellEnd"/>
            <w:r>
              <w:t xml:space="preserve">), és megértsék általuk, „hogyan fejeződnek ki az emberi szellem lényegi tendenciái változó történelmi feltételek mellett, meghatározott témák és elképzelések által” a vizuális művészetekben, mindenekelőtt a képzőművészetben. A cél az, hogy a hallgatók megtanuljanak képzőművészeti alkotásokat „látni”, narratív, ikonográfiai, </w:t>
            </w:r>
            <w:proofErr w:type="spellStart"/>
            <w:r>
              <w:t>ikonológiai</w:t>
            </w:r>
            <w:proofErr w:type="spellEnd"/>
            <w:r>
              <w:t xml:space="preserve">, szemiotikai, művészettörténeti stb. szempontok alapján értelmezni. </w:t>
            </w:r>
          </w:p>
          <w:p w:rsidR="00D92FD8" w:rsidRPr="006758C5" w:rsidRDefault="00D92FD8" w:rsidP="009F4D3F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9F4D3F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65B6B" w:rsidRPr="00E314A4" w:rsidRDefault="00965B6B" w:rsidP="00965B6B">
            <w:pPr>
              <w:spacing w:before="120" w:after="120"/>
              <w:rPr>
                <w:b/>
              </w:rPr>
            </w:pPr>
            <w:r w:rsidRPr="00E314A4">
              <w:rPr>
                <w:b/>
              </w:rPr>
              <w:t>Kötelező irodalom</w:t>
            </w:r>
          </w:p>
          <w:p w:rsidR="00965B6B" w:rsidRPr="00E970CC" w:rsidRDefault="00965B6B" w:rsidP="00965B6B">
            <w:pPr>
              <w:rPr>
                <w:bCs/>
              </w:rPr>
            </w:pPr>
            <w:r w:rsidRPr="00E970CC">
              <w:rPr>
                <w:bCs/>
                <w:i/>
              </w:rPr>
              <w:t xml:space="preserve">Kép. Fenomén. Valóság. </w:t>
            </w:r>
            <w:r w:rsidRPr="00E970CC">
              <w:rPr>
                <w:bCs/>
              </w:rPr>
              <w:t>Kijárat Kiadó, Budapest, 1997.</w:t>
            </w:r>
            <w:r>
              <w:rPr>
                <w:bCs/>
              </w:rPr>
              <w:t xml:space="preserve"> Fordította Gács Anna, Házas Nikoletta, </w:t>
            </w:r>
            <w:proofErr w:type="spellStart"/>
            <w:r>
              <w:rPr>
                <w:bCs/>
              </w:rPr>
              <w:t>Hegyessy</w:t>
            </w:r>
            <w:proofErr w:type="spellEnd"/>
            <w:r>
              <w:rPr>
                <w:bCs/>
              </w:rPr>
              <w:t xml:space="preserve"> Mária, Horváth Csaba, Horváth Károly, Német Andrea, Papp Zoltán, </w:t>
            </w:r>
            <w:proofErr w:type="spellStart"/>
            <w:r>
              <w:rPr>
                <w:bCs/>
              </w:rPr>
              <w:t>Pálfalusi</w:t>
            </w:r>
            <w:proofErr w:type="spellEnd"/>
            <w:r>
              <w:rPr>
                <w:bCs/>
              </w:rPr>
              <w:t xml:space="preserve"> Zsolt, </w:t>
            </w:r>
            <w:proofErr w:type="spellStart"/>
            <w:r>
              <w:rPr>
                <w:bCs/>
              </w:rPr>
              <w:t>Poprády</w:t>
            </w:r>
            <w:proofErr w:type="spellEnd"/>
            <w:r>
              <w:rPr>
                <w:bCs/>
              </w:rPr>
              <w:t xml:space="preserve"> Judit, Rózsahegyi Edit, Sajó Sándor, Somlyó Bálint, Szávai Dorottya, </w:t>
            </w:r>
            <w:proofErr w:type="spellStart"/>
            <w:r>
              <w:rPr>
                <w:bCs/>
              </w:rPr>
              <w:t>Szécsenyi</w:t>
            </w:r>
            <w:proofErr w:type="spellEnd"/>
            <w:r>
              <w:rPr>
                <w:bCs/>
              </w:rPr>
              <w:t xml:space="preserve"> Endre, </w:t>
            </w:r>
            <w:proofErr w:type="spellStart"/>
            <w:r>
              <w:rPr>
                <w:bCs/>
              </w:rPr>
              <w:t>Eifert</w:t>
            </w:r>
            <w:proofErr w:type="spellEnd"/>
            <w:r>
              <w:rPr>
                <w:bCs/>
              </w:rPr>
              <w:t xml:space="preserve"> Anna, </w:t>
            </w:r>
            <w:proofErr w:type="spellStart"/>
            <w:r>
              <w:rPr>
                <w:bCs/>
              </w:rPr>
              <w:t>Kibédi</w:t>
            </w:r>
            <w:proofErr w:type="spellEnd"/>
            <w:r>
              <w:rPr>
                <w:bCs/>
              </w:rPr>
              <w:t xml:space="preserve"> Varga Áron.</w:t>
            </w:r>
          </w:p>
          <w:p w:rsidR="00965B6B" w:rsidRDefault="00965B6B" w:rsidP="00965B6B">
            <w:pPr>
              <w:jc w:val="both"/>
            </w:pPr>
            <w:r w:rsidRPr="0014067D">
              <w:rPr>
                <w:i/>
              </w:rPr>
              <w:t>Narratívák 1. Képleírás. Képi elbeszélés.</w:t>
            </w:r>
            <w:r>
              <w:t xml:space="preserve"> Szerk.: </w:t>
            </w:r>
            <w:proofErr w:type="spellStart"/>
            <w:r>
              <w:t>Thomka</w:t>
            </w:r>
            <w:proofErr w:type="spellEnd"/>
            <w:r>
              <w:t xml:space="preserve"> Beáta. Kijárat Kiadó, Budapest, 1998. Fordította </w:t>
            </w:r>
            <w:proofErr w:type="spellStart"/>
            <w:r>
              <w:t>Hatvig</w:t>
            </w:r>
            <w:proofErr w:type="spellEnd"/>
            <w:r>
              <w:t xml:space="preserve"> Gabriella, Házas Nikoletta, Kovács Tímea, Nagy Edina, Rózsahegyi Edit, Szitás Erzsébet, Z. Varga Zoltán.</w:t>
            </w:r>
          </w:p>
          <w:p w:rsidR="00965B6B" w:rsidRDefault="00965B6B" w:rsidP="00965B6B">
            <w:pPr>
              <w:jc w:val="both"/>
            </w:pPr>
            <w:r>
              <w:t xml:space="preserve">Ervin </w:t>
            </w:r>
            <w:proofErr w:type="spellStart"/>
            <w:r>
              <w:t>Panofsky</w:t>
            </w:r>
            <w:proofErr w:type="spellEnd"/>
            <w:r>
              <w:t xml:space="preserve">: </w:t>
            </w:r>
            <w:r w:rsidRPr="004820FC">
              <w:rPr>
                <w:i/>
              </w:rPr>
              <w:t>A jelentés a vizuális művészetekben</w:t>
            </w:r>
            <w:r>
              <w:t>. Gondolat Kiadó, Budapest, 1984.</w:t>
            </w:r>
          </w:p>
          <w:p w:rsidR="00965B6B" w:rsidRDefault="00965B6B" w:rsidP="00965B6B">
            <w:pPr>
              <w:jc w:val="both"/>
            </w:pPr>
            <w:r w:rsidRPr="0014067D">
              <w:rPr>
                <w:i/>
              </w:rPr>
              <w:t>Szó és kép. A művészi kifejezés szemiotikája és ikonográfiája</w:t>
            </w:r>
            <w:r>
              <w:t xml:space="preserve">. </w:t>
            </w:r>
            <w:proofErr w:type="spellStart"/>
            <w:r>
              <w:t>Ikonológia</w:t>
            </w:r>
            <w:proofErr w:type="spellEnd"/>
            <w:r>
              <w:t xml:space="preserve"> és Műértelmezés. 9. </w:t>
            </w:r>
            <w:proofErr w:type="spellStart"/>
            <w:r>
              <w:t>JATEPress</w:t>
            </w:r>
            <w:proofErr w:type="spellEnd"/>
            <w:r>
              <w:t>, Szeged, 2003.</w:t>
            </w:r>
          </w:p>
          <w:p w:rsidR="00965B6B" w:rsidRPr="00701593" w:rsidRDefault="00965B6B" w:rsidP="00965B6B">
            <w:pPr>
              <w:spacing w:before="120" w:after="120"/>
              <w:rPr>
                <w:b/>
              </w:rPr>
            </w:pPr>
            <w:r w:rsidRPr="00701593">
              <w:rPr>
                <w:b/>
              </w:rPr>
              <w:t>Ajánlott irodalom:</w:t>
            </w:r>
          </w:p>
          <w:p w:rsidR="00965B6B" w:rsidRDefault="00965B6B" w:rsidP="00965B6B">
            <w:pPr>
              <w:jc w:val="both"/>
            </w:pPr>
            <w:r>
              <w:t xml:space="preserve">Rényi András: </w:t>
            </w:r>
            <w:r w:rsidRPr="00C061E1">
              <w:rPr>
                <w:i/>
              </w:rPr>
              <w:t>A testek világlása. Hermeneutikai tanulmányok.</w:t>
            </w:r>
            <w:r>
              <w:t xml:space="preserve"> Kijárat Kiadó, Budapest, 1999.</w:t>
            </w:r>
          </w:p>
          <w:p w:rsidR="00965B6B" w:rsidRDefault="00965B6B" w:rsidP="00965B6B">
            <w:pPr>
              <w:jc w:val="both"/>
            </w:pPr>
            <w:r>
              <w:t xml:space="preserve">Max </w:t>
            </w:r>
            <w:proofErr w:type="spellStart"/>
            <w:r>
              <w:t>Imdahl</w:t>
            </w:r>
            <w:proofErr w:type="spellEnd"/>
            <w:r>
              <w:t xml:space="preserve">: </w:t>
            </w:r>
            <w:r w:rsidRPr="0014067D">
              <w:rPr>
                <w:i/>
              </w:rPr>
              <w:t xml:space="preserve">Giotto. Arénafreskók. Ikonográfia – </w:t>
            </w:r>
            <w:proofErr w:type="spellStart"/>
            <w:r w:rsidRPr="0014067D">
              <w:rPr>
                <w:i/>
              </w:rPr>
              <w:t>Ikonológia</w:t>
            </w:r>
            <w:proofErr w:type="spellEnd"/>
            <w:r w:rsidRPr="0014067D">
              <w:rPr>
                <w:i/>
              </w:rPr>
              <w:t xml:space="preserve"> – </w:t>
            </w:r>
            <w:proofErr w:type="spellStart"/>
            <w:r w:rsidRPr="0014067D">
              <w:rPr>
                <w:i/>
              </w:rPr>
              <w:t>Ikonika</w:t>
            </w:r>
            <w:proofErr w:type="spellEnd"/>
            <w:r>
              <w:t>. Kijárat Kiadó, Budapest, 2003. Fordította Kerekes Amália.</w:t>
            </w:r>
          </w:p>
          <w:p w:rsidR="00965B6B" w:rsidRDefault="00965B6B" w:rsidP="00965B6B">
            <w:pPr>
              <w:jc w:val="both"/>
            </w:pPr>
            <w:proofErr w:type="spellStart"/>
            <w:r>
              <w:t>Pavel</w:t>
            </w:r>
            <w:proofErr w:type="spellEnd"/>
            <w:r>
              <w:t xml:space="preserve"> </w:t>
            </w:r>
            <w:proofErr w:type="spellStart"/>
            <w:r>
              <w:t>Florenszkij</w:t>
            </w:r>
            <w:proofErr w:type="spellEnd"/>
            <w:r>
              <w:t xml:space="preserve">: </w:t>
            </w:r>
            <w:r w:rsidRPr="00C061E1">
              <w:rPr>
                <w:i/>
              </w:rPr>
              <w:t>Az ikonosztáz.</w:t>
            </w:r>
            <w:r>
              <w:t xml:space="preserve"> </w:t>
            </w:r>
            <w:proofErr w:type="spellStart"/>
            <w:r>
              <w:t>Typotex</w:t>
            </w:r>
            <w:proofErr w:type="spellEnd"/>
            <w:r>
              <w:t xml:space="preserve"> Kiadó, Budapest, 2005. Kiss Ilona fordítása.</w:t>
            </w:r>
          </w:p>
          <w:p w:rsidR="00965B6B" w:rsidRDefault="00965B6B" w:rsidP="00965B6B">
            <w:pPr>
              <w:jc w:val="both"/>
            </w:pPr>
            <w:r>
              <w:t xml:space="preserve">E. H. </w:t>
            </w:r>
            <w:proofErr w:type="spellStart"/>
            <w:r>
              <w:t>Gombrich</w:t>
            </w:r>
            <w:proofErr w:type="spellEnd"/>
            <w:r>
              <w:t xml:space="preserve">: </w:t>
            </w:r>
            <w:r w:rsidRPr="006D5E59">
              <w:rPr>
                <w:i/>
              </w:rPr>
              <w:t>A művészet története</w:t>
            </w:r>
            <w:r>
              <w:t>. Gondolat Kiadó, Budapest, 1983.</w:t>
            </w:r>
          </w:p>
          <w:p w:rsidR="00D92FD8" w:rsidRPr="006758C5" w:rsidRDefault="00D92FD8" w:rsidP="009F4D3F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9F4D3F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AD210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2107" w:rsidRPr="00AD2107">
              <w:t>Dr. Széplaky Gerda PhD főiskolai docens</w:t>
            </w:r>
          </w:p>
        </w:tc>
      </w:tr>
      <w:tr w:rsidR="00D92FD8" w:rsidRPr="008C485B" w:rsidTr="009F4D3F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AD2107" w:rsidRDefault="00D92FD8" w:rsidP="00AD2107">
            <w:pPr>
              <w:spacing w:before="60"/>
              <w:jc w:val="both"/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2107" w:rsidRPr="00AD2107">
              <w:t>Dr. Széplaky Gerda PhD 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A8" w:rsidRDefault="00EC07A8" w:rsidP="00D92FD8">
      <w:r>
        <w:separator/>
      </w:r>
    </w:p>
  </w:endnote>
  <w:endnote w:type="continuationSeparator" w:id="0">
    <w:p w:rsidR="00EC07A8" w:rsidRDefault="00EC07A8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A8" w:rsidRDefault="00EC07A8" w:rsidP="00D92FD8">
      <w:r>
        <w:separator/>
      </w:r>
    </w:p>
  </w:footnote>
  <w:footnote w:type="continuationSeparator" w:id="0">
    <w:p w:rsidR="00EC07A8" w:rsidRDefault="00EC07A8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9216B"/>
    <w:rsid w:val="00380B7F"/>
    <w:rsid w:val="0054096D"/>
    <w:rsid w:val="00642D6C"/>
    <w:rsid w:val="007D73E3"/>
    <w:rsid w:val="00965B6B"/>
    <w:rsid w:val="00A207E6"/>
    <w:rsid w:val="00AD2107"/>
    <w:rsid w:val="00B72B3E"/>
    <w:rsid w:val="00CA1DE6"/>
    <w:rsid w:val="00CD2158"/>
    <w:rsid w:val="00D92FD8"/>
    <w:rsid w:val="00DA145F"/>
    <w:rsid w:val="00EC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2013-07-08T07:24:00Z</dcterms:created>
  <dcterms:modified xsi:type="dcterms:W3CDTF">2013-07-08T07:27:00Z</dcterms:modified>
</cp:coreProperties>
</file>