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654F76" w:rsidRPr="006C7405" w:rsidTr="003D6AF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54F76" w:rsidRPr="006C7405" w:rsidRDefault="00654F76" w:rsidP="00654F76">
            <w:pPr>
              <w:rPr>
                <w:b/>
                <w:sz w:val="24"/>
                <w:szCs w:val="24"/>
              </w:rPr>
            </w:pPr>
            <w:bookmarkStart w:id="0" w:name="OLE_LINK1"/>
            <w:r w:rsidRPr="006C740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7405">
              <w:rPr>
                <w:b/>
                <w:sz w:val="24"/>
                <w:szCs w:val="24"/>
              </w:rPr>
              <w:t>Zeneesztétika</w:t>
            </w:r>
          </w:p>
          <w:p w:rsidR="00654F76" w:rsidRPr="006C7405" w:rsidRDefault="00654F76" w:rsidP="00654F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>Kódja: NBB_SB168K3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54F76" w:rsidRPr="006C7405" w:rsidRDefault="00654F76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 xml:space="preserve">Kreditszáma: </w:t>
            </w:r>
            <w:r w:rsidRPr="006C7405">
              <w:rPr>
                <w:b/>
                <w:sz w:val="24"/>
                <w:szCs w:val="24"/>
              </w:rPr>
              <w:br/>
              <w:t>3</w:t>
            </w:r>
          </w:p>
        </w:tc>
      </w:tr>
      <w:tr w:rsidR="003218A2" w:rsidRPr="006C7405" w:rsidTr="007D7BD7">
        <w:tc>
          <w:tcPr>
            <w:tcW w:w="9180" w:type="dxa"/>
            <w:gridSpan w:val="2"/>
          </w:tcPr>
          <w:p w:rsidR="003218A2" w:rsidRPr="006C7405" w:rsidRDefault="003218A2" w:rsidP="003D03F8">
            <w:pPr>
              <w:spacing w:before="60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A tanóra </w:t>
            </w:r>
            <w:proofErr w:type="gramStart"/>
            <w:r w:rsidRPr="006C7405">
              <w:rPr>
                <w:sz w:val="24"/>
                <w:szCs w:val="24"/>
              </w:rPr>
              <w:t>típusa</w:t>
            </w:r>
            <w:r w:rsidRPr="006C7405">
              <w:rPr>
                <w:rStyle w:val="Lbjegyzet-hivatkozs"/>
                <w:sz w:val="24"/>
                <w:szCs w:val="24"/>
              </w:rPr>
              <w:footnoteReference w:id="1"/>
            </w:r>
            <w:r w:rsidRPr="006C7405">
              <w:rPr>
                <w:sz w:val="24"/>
                <w:szCs w:val="24"/>
              </w:rPr>
              <w:t>:</w:t>
            </w:r>
            <w:proofErr w:type="gramEnd"/>
            <w:r w:rsidR="00FE7D46" w:rsidRPr="006C7405">
              <w:rPr>
                <w:sz w:val="24"/>
                <w:szCs w:val="24"/>
              </w:rPr>
              <w:t xml:space="preserve"> </w:t>
            </w:r>
            <w:r w:rsidR="00685699" w:rsidRPr="003D03F8">
              <w:rPr>
                <w:b/>
                <w:sz w:val="24"/>
                <w:szCs w:val="24"/>
              </w:rPr>
              <w:t>előadás</w:t>
            </w:r>
            <w:r w:rsidRPr="006C7405">
              <w:rPr>
                <w:sz w:val="24"/>
                <w:szCs w:val="24"/>
              </w:rPr>
              <w:tab/>
              <w:t xml:space="preserve">és száma: </w:t>
            </w:r>
            <w:r w:rsidR="003D03F8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6C7405" w:rsidTr="007D7BD7">
        <w:tc>
          <w:tcPr>
            <w:tcW w:w="9180" w:type="dxa"/>
            <w:gridSpan w:val="2"/>
          </w:tcPr>
          <w:p w:rsidR="003218A2" w:rsidRPr="006C7405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A számonkérés módja (koll./gyj./</w:t>
            </w:r>
            <w:proofErr w:type="gramStart"/>
            <w:r w:rsidRPr="006C7405">
              <w:rPr>
                <w:sz w:val="24"/>
                <w:szCs w:val="24"/>
              </w:rPr>
              <w:t>egyéb</w:t>
            </w:r>
            <w:r w:rsidRPr="006C7405">
              <w:rPr>
                <w:rStyle w:val="Lbjegyzet-hivatkozs"/>
                <w:sz w:val="24"/>
                <w:szCs w:val="24"/>
              </w:rPr>
              <w:footnoteReference w:id="2"/>
            </w:r>
            <w:r w:rsidRPr="006C7405">
              <w:rPr>
                <w:sz w:val="24"/>
                <w:szCs w:val="24"/>
              </w:rPr>
              <w:t>)</w:t>
            </w:r>
            <w:proofErr w:type="gramEnd"/>
            <w:r w:rsidRPr="006C7405">
              <w:rPr>
                <w:sz w:val="24"/>
                <w:szCs w:val="24"/>
              </w:rPr>
              <w:t xml:space="preserve">: </w:t>
            </w:r>
            <w:r w:rsidR="00685699" w:rsidRPr="003D03F8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6C740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C7405" w:rsidRDefault="003218A2" w:rsidP="007D7BD7">
            <w:pPr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A tantárgy tantervi helye (hányadik félév):</w:t>
            </w:r>
            <w:r w:rsidR="00FE7D46" w:rsidRPr="006C7405">
              <w:rPr>
                <w:sz w:val="24"/>
                <w:szCs w:val="24"/>
              </w:rPr>
              <w:t xml:space="preserve"> </w:t>
            </w:r>
            <w:r w:rsidR="00685699" w:rsidRPr="003D03F8">
              <w:rPr>
                <w:b/>
                <w:sz w:val="24"/>
                <w:szCs w:val="24"/>
              </w:rPr>
              <w:t>III</w:t>
            </w:r>
            <w:r w:rsidR="00685699" w:rsidRPr="006C7405">
              <w:rPr>
                <w:sz w:val="24"/>
                <w:szCs w:val="24"/>
              </w:rPr>
              <w:t>.</w:t>
            </w:r>
          </w:p>
        </w:tc>
      </w:tr>
      <w:tr w:rsidR="003218A2" w:rsidRPr="006C740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C7405" w:rsidRDefault="003218A2" w:rsidP="007D7BD7">
            <w:pPr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Előtanulmányi feltételek </w:t>
            </w:r>
            <w:r w:rsidRPr="006C7405">
              <w:rPr>
                <w:i/>
                <w:sz w:val="24"/>
                <w:szCs w:val="24"/>
              </w:rPr>
              <w:t>(ha vannak)</w:t>
            </w:r>
            <w:r w:rsidRPr="006C7405">
              <w:rPr>
                <w:sz w:val="24"/>
                <w:szCs w:val="24"/>
              </w:rPr>
              <w:t>:</w:t>
            </w:r>
            <w:r w:rsidRPr="006C7405">
              <w:rPr>
                <w:i/>
                <w:sz w:val="24"/>
                <w:szCs w:val="24"/>
              </w:rPr>
              <w:t xml:space="preserve"> </w:t>
            </w:r>
            <w:r w:rsidR="00685699" w:rsidRPr="006C740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C7405" w:rsidTr="00975C41">
        <w:trPr>
          <w:trHeight w:val="724"/>
        </w:trPr>
        <w:tc>
          <w:tcPr>
            <w:tcW w:w="9180" w:type="dxa"/>
            <w:gridSpan w:val="2"/>
          </w:tcPr>
          <w:p w:rsidR="00FE7D46" w:rsidRPr="006C7405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>Tantárgyleírás</w:t>
            </w:r>
            <w:r w:rsidRPr="006C7405">
              <w:rPr>
                <w:sz w:val="24"/>
                <w:szCs w:val="24"/>
              </w:rPr>
              <w:t>:</w:t>
            </w:r>
          </w:p>
          <w:p w:rsidR="006C7405" w:rsidRPr="006C7405" w:rsidRDefault="006C7405" w:rsidP="006C7405">
            <w:pPr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A kurzus elsősorban a 19-20. századi zeneesztétikai irányzatokat tekinti át, bemutatva a történeti előzményeket is az antikvitástól kezdődően. A művészetelméleti írások értelmezése mellett néhány kanonikus zenemű művészetfilozófiai-esztétikai értelmezésére is sor kerül. Az itt felsorolt zeneművek természetesen csak javaslatok, a konkrét műveket mindig a kurzus elején a hall</w:t>
            </w:r>
            <w:r w:rsidR="001570A4">
              <w:rPr>
                <w:sz w:val="24"/>
                <w:szCs w:val="24"/>
              </w:rPr>
              <w:t xml:space="preserve">gatókkal együtt választjuk ki.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 zenével kapcsolatos felfogások az antikvitástól a felvilágosodásig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A felvilágosodás affektuselmélete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Wackenroder és Tieck zenei érzésesztétikája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A hegeli </w:t>
            </w:r>
            <w:proofErr w:type="gramStart"/>
            <w:r w:rsidRPr="006C7405">
              <w:rPr>
                <w:sz w:val="24"/>
                <w:szCs w:val="24"/>
              </w:rPr>
              <w:t>zeneesztétika</w:t>
            </w:r>
            <w:proofErr w:type="gramEnd"/>
            <w:r w:rsidRPr="006C7405">
              <w:rPr>
                <w:sz w:val="24"/>
                <w:szCs w:val="24"/>
              </w:rPr>
              <w:t xml:space="preserve"> mint szintézis-kísérlet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Schopenhauer zenei metafizikája.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Kierkegaard és az „egyetlen remekmű”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 zenekritika születése: E. T. A. Hoffmann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 programzene problémái: Wagner és Liszt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 wagneri Gesamtkunstwerk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Hanslick esztétikája: a </w:t>
            </w:r>
            <w:proofErr w:type="gramStart"/>
            <w:r w:rsidRPr="006C7405">
              <w:rPr>
                <w:sz w:val="24"/>
                <w:szCs w:val="24"/>
              </w:rPr>
              <w:t>zene</w:t>
            </w:r>
            <w:proofErr w:type="gramEnd"/>
            <w:r w:rsidRPr="006C7405">
              <w:rPr>
                <w:sz w:val="24"/>
                <w:szCs w:val="24"/>
              </w:rPr>
              <w:t xml:space="preserve"> mint hangozva mozgó forma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A zenei megértés és a zene ontológiája: Dahlhaus és Ingarden </w:t>
            </w:r>
          </w:p>
          <w:p w:rsidR="006C7405" w:rsidRPr="006C7405" w:rsidRDefault="006C7405" w:rsidP="006C7405">
            <w:pPr>
              <w:spacing w:line="240" w:lineRule="atLeast"/>
              <w:ind w:right="-7"/>
              <w:jc w:val="both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Az új zene esztétikája: Schönberg és Adorno</w:t>
            </w:r>
          </w:p>
          <w:p w:rsidR="00FE7D46" w:rsidRPr="006C7405" w:rsidRDefault="006C7405" w:rsidP="006C7405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Avantgárd és experimentalitás: Cage és a csend</w:t>
            </w:r>
          </w:p>
        </w:tc>
      </w:tr>
      <w:tr w:rsidR="00FE7D46" w:rsidRPr="006C7405" w:rsidTr="00975C41">
        <w:trPr>
          <w:trHeight w:val="1271"/>
        </w:trPr>
        <w:tc>
          <w:tcPr>
            <w:tcW w:w="9180" w:type="dxa"/>
            <w:gridSpan w:val="2"/>
          </w:tcPr>
          <w:p w:rsidR="00FE7D46" w:rsidRPr="006C740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C740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E.T.</w:t>
            </w:r>
            <w:proofErr w:type="gramStart"/>
            <w:r w:rsidRPr="006C7405">
              <w:rPr>
                <w:sz w:val="24"/>
                <w:szCs w:val="24"/>
              </w:rPr>
              <w:t>A</w:t>
            </w:r>
            <w:proofErr w:type="gramEnd"/>
            <w:r w:rsidRPr="006C7405">
              <w:rPr>
                <w:sz w:val="24"/>
                <w:szCs w:val="24"/>
              </w:rPr>
              <w:t>. Hoffmann: Beethoven hangszeres zenéje. In: Uő: Fantáziadarabok Callot modorában 1. Bp. 2007. 51-61.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Kierkegaard: Mozart Don Juanja. Bp. 1993.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Csobó Péter (szerk.): Zene és szó. Nyíregyháza, 2004.: Wackenroder – Tieck; Hanslick; Wagner; Dahlhaus; Ingarden; Adorno-szemelvények.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  <w:u w:val="single"/>
              </w:rPr>
            </w:pPr>
            <w:r w:rsidRPr="006C7405">
              <w:rPr>
                <w:sz w:val="24"/>
                <w:szCs w:val="24"/>
              </w:rPr>
              <w:t xml:space="preserve">– Th. W. Adorno: A zenével kapcsolatos magatartás típusai. In: Uő: Zene, filozófia, társadalom. Szerk. Zoltai Dénes. Budapest, Gondolat, 1970. </w:t>
            </w:r>
          </w:p>
          <w:p w:rsidR="006C7405" w:rsidRPr="006C7405" w:rsidRDefault="006C7405" w:rsidP="006C7405">
            <w:pPr>
              <w:spacing w:before="120" w:after="60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>Ajánlott olvasmányok: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Zoltai Dénes: A zeneesztétika története. Bp., Kávé K</w:t>
            </w:r>
            <w:proofErr w:type="gramStart"/>
            <w:r w:rsidRPr="006C7405">
              <w:rPr>
                <w:sz w:val="24"/>
                <w:szCs w:val="24"/>
              </w:rPr>
              <w:t>.,</w:t>
            </w:r>
            <w:proofErr w:type="gramEnd"/>
            <w:r w:rsidRPr="006C7405">
              <w:rPr>
                <w:sz w:val="24"/>
                <w:szCs w:val="24"/>
              </w:rPr>
              <w:t xml:space="preserve"> 2000. </w:t>
            </w:r>
          </w:p>
          <w:p w:rsidR="006C7405" w:rsidRPr="006C7405" w:rsidRDefault="006C7405" w:rsidP="006C7405">
            <w:pPr>
              <w:ind w:right="-7"/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 xml:space="preserve">– Carl Dahlhaus: Az abszolút zene eszméje. Bp. 2004.  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John Cage: A csend. Pécs, 2000.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C Dahlhaus – H. H. Eggebrecht: Mi a zene?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Adorno: Zene, filozófia, társadalom. Bp., Gondolat, 1970.</w:t>
            </w:r>
          </w:p>
          <w:p w:rsidR="006C7405" w:rsidRPr="006C7405" w:rsidRDefault="006C7405" w:rsidP="006C7405">
            <w:pPr>
              <w:spacing w:before="120" w:after="60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>Ajánlott zeneművek: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 xml:space="preserve">– </w:t>
            </w:r>
            <w:r w:rsidRPr="006C7405">
              <w:rPr>
                <w:sz w:val="24"/>
                <w:szCs w:val="24"/>
              </w:rPr>
              <w:t>Bach: A fúga művészete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Mozart: Don Giovanni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lastRenderedPageBreak/>
              <w:t>– Beethoven valamelyik „kései” vonósnégyese; VII. szimfónia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Liszt valamelyik szimfonikus költeménye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Wagner: Tannhäuser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Bartók: A Kékszakállú herceg vára</w:t>
            </w:r>
          </w:p>
          <w:p w:rsidR="006C7405" w:rsidRPr="006C7405" w:rsidRDefault="006C7405" w:rsidP="006C7405">
            <w:pPr>
              <w:rPr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Schönberg valamelyik műve</w:t>
            </w:r>
          </w:p>
          <w:p w:rsidR="00FE7D46" w:rsidRPr="006C7405" w:rsidRDefault="006C7405" w:rsidP="006C740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sz w:val="24"/>
                <w:szCs w:val="24"/>
              </w:rPr>
              <w:t>– Kurtág György: Játékok</w:t>
            </w:r>
          </w:p>
        </w:tc>
      </w:tr>
      <w:tr w:rsidR="003218A2" w:rsidRPr="006C7405" w:rsidTr="007D7BD7">
        <w:trPr>
          <w:trHeight w:val="338"/>
        </w:trPr>
        <w:tc>
          <w:tcPr>
            <w:tcW w:w="9180" w:type="dxa"/>
            <w:gridSpan w:val="2"/>
          </w:tcPr>
          <w:p w:rsidR="003218A2" w:rsidRPr="006C7405" w:rsidRDefault="003218A2" w:rsidP="006150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C7405">
              <w:rPr>
                <w:sz w:val="24"/>
                <w:szCs w:val="24"/>
              </w:rPr>
              <w:t>(</w:t>
            </w:r>
            <w:r w:rsidRPr="006C7405">
              <w:rPr>
                <w:i/>
                <w:sz w:val="24"/>
                <w:szCs w:val="24"/>
              </w:rPr>
              <w:t>név, beosztás, tud. fokozat</w:t>
            </w:r>
            <w:r w:rsidRPr="006C7405">
              <w:rPr>
                <w:sz w:val="24"/>
                <w:szCs w:val="24"/>
              </w:rPr>
              <w:t>)</w:t>
            </w:r>
            <w:r w:rsidRPr="006C7405">
              <w:rPr>
                <w:b/>
                <w:sz w:val="24"/>
                <w:szCs w:val="24"/>
              </w:rPr>
              <w:t>:</w:t>
            </w:r>
            <w:r w:rsidR="00FE7D46" w:rsidRPr="006C7405">
              <w:rPr>
                <w:b/>
                <w:sz w:val="24"/>
                <w:szCs w:val="24"/>
              </w:rPr>
              <w:t xml:space="preserve"> </w:t>
            </w:r>
            <w:r w:rsidR="006C7405" w:rsidRPr="006C7405">
              <w:rPr>
                <w:bCs/>
                <w:sz w:val="24"/>
                <w:szCs w:val="24"/>
              </w:rPr>
              <w:t>Dr. habil. Loboczky János CSc főiskolai tanár</w:t>
            </w:r>
          </w:p>
        </w:tc>
      </w:tr>
      <w:tr w:rsidR="003218A2" w:rsidRPr="006C740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C7405" w:rsidRDefault="003218A2" w:rsidP="006150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C740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C7405">
              <w:rPr>
                <w:b/>
                <w:sz w:val="24"/>
                <w:szCs w:val="24"/>
              </w:rPr>
              <w:t>oktató(</w:t>
            </w:r>
            <w:proofErr w:type="gramEnd"/>
            <w:r w:rsidRPr="006C7405">
              <w:rPr>
                <w:b/>
                <w:sz w:val="24"/>
                <w:szCs w:val="24"/>
              </w:rPr>
              <w:t xml:space="preserve">k), </w:t>
            </w:r>
            <w:r w:rsidRPr="006C7405">
              <w:rPr>
                <w:sz w:val="24"/>
                <w:szCs w:val="24"/>
              </w:rPr>
              <w:t>ha vannak</w:t>
            </w:r>
            <w:r w:rsidRPr="006C7405">
              <w:rPr>
                <w:b/>
                <w:sz w:val="24"/>
                <w:szCs w:val="24"/>
              </w:rPr>
              <w:t xml:space="preserve"> </w:t>
            </w:r>
            <w:r w:rsidRPr="006C7405">
              <w:rPr>
                <w:sz w:val="24"/>
                <w:szCs w:val="24"/>
              </w:rPr>
              <w:t>(</w:t>
            </w:r>
            <w:r w:rsidRPr="006C7405">
              <w:rPr>
                <w:i/>
                <w:sz w:val="24"/>
                <w:szCs w:val="24"/>
              </w:rPr>
              <w:t>név, beosztás, tud. fokozat</w:t>
            </w:r>
            <w:r w:rsidRPr="006C7405">
              <w:rPr>
                <w:sz w:val="24"/>
                <w:szCs w:val="24"/>
              </w:rPr>
              <w:t>)</w:t>
            </w:r>
            <w:r w:rsidRPr="006C7405">
              <w:rPr>
                <w:b/>
                <w:sz w:val="24"/>
                <w:szCs w:val="24"/>
              </w:rPr>
              <w:t>:</w:t>
            </w:r>
            <w:r w:rsidR="00FE7D46" w:rsidRPr="006C7405">
              <w:rPr>
                <w:b/>
                <w:sz w:val="24"/>
                <w:szCs w:val="24"/>
              </w:rPr>
              <w:t xml:space="preserve"> </w:t>
            </w:r>
            <w:r w:rsidR="006C7405" w:rsidRPr="006C7405">
              <w:rPr>
                <w:bCs/>
                <w:sz w:val="24"/>
                <w:szCs w:val="24"/>
              </w:rPr>
              <w:t>Dr. habil. Loboczky János CSc főiskolai tanár</w:t>
            </w:r>
          </w:p>
        </w:tc>
      </w:tr>
      <w:bookmarkEnd w:id="0"/>
    </w:tbl>
    <w:p w:rsidR="008E5F9A" w:rsidRPr="006C7405" w:rsidRDefault="008E5F9A" w:rsidP="003218A2">
      <w:pPr>
        <w:rPr>
          <w:sz w:val="24"/>
          <w:szCs w:val="24"/>
        </w:rPr>
      </w:pPr>
    </w:p>
    <w:sectPr w:rsidR="008E5F9A" w:rsidRPr="006C740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A3" w:rsidRDefault="00F633A3" w:rsidP="0094340E">
      <w:r>
        <w:separator/>
      </w:r>
    </w:p>
  </w:endnote>
  <w:endnote w:type="continuationSeparator" w:id="0">
    <w:p w:rsidR="00F633A3" w:rsidRDefault="00F633A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A3" w:rsidRDefault="00F633A3" w:rsidP="0094340E">
      <w:r>
        <w:separator/>
      </w:r>
    </w:p>
  </w:footnote>
  <w:footnote w:type="continuationSeparator" w:id="0">
    <w:p w:rsidR="00F633A3" w:rsidRDefault="00F633A3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570A4"/>
    <w:rsid w:val="00167F7F"/>
    <w:rsid w:val="001E1BC9"/>
    <w:rsid w:val="003218A2"/>
    <w:rsid w:val="00343065"/>
    <w:rsid w:val="00350762"/>
    <w:rsid w:val="003D03F8"/>
    <w:rsid w:val="003D6AFC"/>
    <w:rsid w:val="004411D9"/>
    <w:rsid w:val="00585D61"/>
    <w:rsid w:val="00615020"/>
    <w:rsid w:val="00634C96"/>
    <w:rsid w:val="00654F76"/>
    <w:rsid w:val="00656E64"/>
    <w:rsid w:val="00673458"/>
    <w:rsid w:val="00685699"/>
    <w:rsid w:val="006C7405"/>
    <w:rsid w:val="00766CEA"/>
    <w:rsid w:val="007D3E08"/>
    <w:rsid w:val="007D7BD7"/>
    <w:rsid w:val="0084009F"/>
    <w:rsid w:val="008A4EE2"/>
    <w:rsid w:val="008B32D1"/>
    <w:rsid w:val="008E5F9A"/>
    <w:rsid w:val="008F1E4F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D219ED"/>
    <w:rsid w:val="00D445DE"/>
    <w:rsid w:val="00D87D73"/>
    <w:rsid w:val="00EB69FB"/>
    <w:rsid w:val="00F01C44"/>
    <w:rsid w:val="00F633A3"/>
    <w:rsid w:val="00FE3EBE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07B8-5012-4209-AAE0-12A5800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2013-07-05T10:34:00Z</dcterms:created>
  <dcterms:modified xsi:type="dcterms:W3CDTF">2013-07-05T10:34:00Z</dcterms:modified>
</cp:coreProperties>
</file>