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6"/>
        <w:gridCol w:w="2232"/>
      </w:tblGrid>
      <w:tr w:rsidR="00D92FD8" w:rsidRPr="008C485B" w:rsidTr="009E46CF">
        <w:tc>
          <w:tcPr>
            <w:tcW w:w="6806" w:type="dxa"/>
            <w:tcMar>
              <w:top w:w="57" w:type="dxa"/>
              <w:bottom w:w="57" w:type="dxa"/>
            </w:tcMar>
          </w:tcPr>
          <w:p w:rsidR="00A51A89" w:rsidRPr="00A51A89" w:rsidRDefault="00D92FD8" w:rsidP="00A51A89">
            <w:pPr>
              <w:ind w:left="459" w:hanging="459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51A89" w:rsidRPr="00A51A89">
              <w:rPr>
                <w:b/>
                <w:sz w:val="24"/>
                <w:szCs w:val="24"/>
              </w:rPr>
              <w:t>Az európai filozófia története II. – (A XVII-XVIII. századi filozófia története – újkori ismeretelmél</w:t>
            </w:r>
            <w:r w:rsidR="00A51A89" w:rsidRPr="00A51A89">
              <w:rPr>
                <w:b/>
                <w:sz w:val="24"/>
                <w:szCs w:val="24"/>
              </w:rPr>
              <w:t>e</w:t>
            </w:r>
            <w:r w:rsidR="00A51A89" w:rsidRPr="00A51A89">
              <w:rPr>
                <w:b/>
                <w:sz w:val="24"/>
                <w:szCs w:val="24"/>
              </w:rPr>
              <w:t>tek)</w:t>
            </w:r>
          </w:p>
          <w:p w:rsidR="00D92FD8" w:rsidRPr="008C485B" w:rsidRDefault="00A51A89" w:rsidP="009F4D3F">
            <w:pPr>
              <w:jc w:val="both"/>
              <w:rPr>
                <w:b/>
                <w:sz w:val="24"/>
                <w:szCs w:val="24"/>
              </w:rPr>
            </w:pPr>
            <w:r w:rsidRPr="00A51A89">
              <w:rPr>
                <w:b/>
                <w:sz w:val="24"/>
                <w:szCs w:val="24"/>
              </w:rPr>
              <w:t>Tantárgy kódja: NBB_SB116K4</w:t>
            </w:r>
          </w:p>
        </w:tc>
        <w:tc>
          <w:tcPr>
            <w:tcW w:w="2232" w:type="dxa"/>
            <w:tcMar>
              <w:top w:w="57" w:type="dxa"/>
              <w:bottom w:w="57" w:type="dxa"/>
            </w:tcMar>
          </w:tcPr>
          <w:p w:rsidR="00D92FD8" w:rsidRPr="008C485B" w:rsidRDefault="00D92FD8" w:rsidP="00CD21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CD21DD">
              <w:rPr>
                <w:b/>
                <w:sz w:val="24"/>
                <w:szCs w:val="24"/>
              </w:rPr>
              <w:t>4</w:t>
            </w:r>
          </w:p>
        </w:tc>
      </w:tr>
      <w:tr w:rsidR="00D92FD8" w:rsidRPr="008C485B" w:rsidTr="009E46CF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D21DD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CD21DD" w:rsidRPr="00CD21DD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CD21DD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9E46CF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D21D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CD21DD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CD21DD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CD21DD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CD21DD" w:rsidRPr="00CD21DD">
              <w:rPr>
                <w:b/>
                <w:sz w:val="24"/>
                <w:szCs w:val="24"/>
              </w:rPr>
              <w:t>NBB_SB183K3</w:t>
            </w:r>
            <w:r w:rsidR="00CD21DD">
              <w:rPr>
                <w:b/>
                <w:sz w:val="24"/>
                <w:szCs w:val="24"/>
              </w:rPr>
              <w:t xml:space="preserve">, </w:t>
            </w:r>
            <w:r w:rsidR="00CD21DD" w:rsidRPr="00CD21DD">
              <w:rPr>
                <w:b/>
                <w:sz w:val="24"/>
                <w:szCs w:val="24"/>
              </w:rPr>
              <w:t>NBB_SB115G3</w:t>
            </w: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E46CF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E46CF" w:rsidRPr="00BF3A6E" w:rsidRDefault="009E46CF" w:rsidP="009E46CF">
            <w:pPr>
              <w:rPr>
                <w:i/>
              </w:rPr>
            </w:pPr>
            <w:r w:rsidRPr="00BF3A6E">
              <w:rPr>
                <w:b/>
              </w:rPr>
              <w:t>Tantárgy leírása:</w:t>
            </w:r>
          </w:p>
          <w:p w:rsidR="009E46CF" w:rsidRPr="00BF3A6E" w:rsidRDefault="009E46CF" w:rsidP="009E46CF">
            <w:r w:rsidRPr="00BF3A6E">
              <w:rPr>
                <w:b/>
              </w:rPr>
              <w:t>A XVII-XVIII. századi filozófia története:</w:t>
            </w:r>
          </w:p>
          <w:p w:rsidR="009E46CF" w:rsidRPr="00BF3A6E" w:rsidRDefault="009E46CF" w:rsidP="009E46CF">
            <w:pPr>
              <w:jc w:val="both"/>
            </w:pPr>
            <w:r w:rsidRPr="00BF3A6E">
              <w:t>Az európai filozófia történetét tárgyaló kurzus második fejezete a modern természettudományok kibontak</w:t>
            </w:r>
            <w:r w:rsidRPr="00BF3A6E">
              <w:t>o</w:t>
            </w:r>
            <w:r w:rsidRPr="00BF3A6E">
              <w:t>zásával párhuzamosan születő, és ezt elősegítő 17-18. Századi filozófiai problémákat mutatja be. Középpontban racionalizmus és empirizmus vitája áll. Bacon, Descartes, Leibniz, Sp</w:t>
            </w:r>
            <w:r w:rsidRPr="00BF3A6E">
              <w:t>i</w:t>
            </w:r>
            <w:r w:rsidRPr="00BF3A6E">
              <w:t>noza, illetve Locke, Berkeley, Hume írásaiból megismerhetjük az ismeretszerzés módjáról és az ismeretek feldolgozásáról vallott nézete</w:t>
            </w:r>
            <w:r w:rsidRPr="00BF3A6E">
              <w:t>i</w:t>
            </w:r>
            <w:r w:rsidRPr="00BF3A6E">
              <w:t xml:space="preserve">ket, előfeltevéseiket, miközben tisztázhatunk olyan alapfogalmakat, mint idea, lélek, elme, tudat, megismerés, igazság, realitás, reprezentáció stb. </w:t>
            </w:r>
            <w:proofErr w:type="gramStart"/>
            <w:r w:rsidRPr="00BF3A6E">
              <w:t>A</w:t>
            </w:r>
            <w:proofErr w:type="gramEnd"/>
            <w:r w:rsidRPr="00BF3A6E">
              <w:t xml:space="preserve"> korsza</w:t>
            </w:r>
            <w:r w:rsidRPr="00BF3A6E">
              <w:t>k</w:t>
            </w:r>
            <w:r w:rsidRPr="00BF3A6E">
              <w:t xml:space="preserve">kal való ismerkedést Kant szintézisének elemzése zárja. </w:t>
            </w:r>
          </w:p>
          <w:p w:rsidR="00D92FD8" w:rsidRPr="006758C5" w:rsidRDefault="00D92FD8" w:rsidP="009F4D3F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9E46CF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E46CF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E46CF" w:rsidRPr="00BF3A6E" w:rsidRDefault="009E46CF" w:rsidP="009E46CF">
            <w:pPr>
              <w:rPr>
                <w:b/>
              </w:rPr>
            </w:pPr>
            <w:r w:rsidRPr="00BF3A6E">
              <w:rPr>
                <w:b/>
              </w:rPr>
              <w:t>Kötelező olvasmányok:</w:t>
            </w:r>
          </w:p>
          <w:p w:rsidR="009E46CF" w:rsidRPr="00BF3A6E" w:rsidRDefault="009E46CF" w:rsidP="009E46CF">
            <w:r w:rsidRPr="00BF3A6E">
              <w:t xml:space="preserve">Bacon: </w:t>
            </w:r>
            <w:proofErr w:type="spellStart"/>
            <w:r w:rsidRPr="00BF3A6E">
              <w:t>Novum</w:t>
            </w:r>
            <w:proofErr w:type="spellEnd"/>
            <w:r w:rsidRPr="00BF3A6E">
              <w:t xml:space="preserve"> </w:t>
            </w:r>
            <w:proofErr w:type="spellStart"/>
            <w:r w:rsidRPr="00BF3A6E">
              <w:t>Organum</w:t>
            </w:r>
            <w:proofErr w:type="spellEnd"/>
            <w:r w:rsidRPr="00BF3A6E">
              <w:t xml:space="preserve">. </w:t>
            </w:r>
            <w:proofErr w:type="spellStart"/>
            <w:r w:rsidRPr="00BF3A6E">
              <w:t>Nippon</w:t>
            </w:r>
            <w:proofErr w:type="spellEnd"/>
            <w:r w:rsidRPr="00BF3A6E">
              <w:t xml:space="preserve"> Budapest 1995</w:t>
            </w:r>
          </w:p>
          <w:p w:rsidR="009E46CF" w:rsidRPr="00BF3A6E" w:rsidRDefault="009E46CF" w:rsidP="009E46CF">
            <w:r w:rsidRPr="00BF3A6E">
              <w:t>Descartes: Elmélkedések. Atlantisz Budapest, 1994.</w:t>
            </w:r>
          </w:p>
          <w:p w:rsidR="009E46CF" w:rsidRPr="00BF3A6E" w:rsidRDefault="009E46CF" w:rsidP="009E46CF">
            <w:pPr>
              <w:ind w:left="822" w:hanging="822"/>
            </w:pPr>
            <w:r w:rsidRPr="00BF3A6E">
              <w:t>Descartes: Értekezés a módszerről. Ikon Kiadó, Budapest 1993</w:t>
            </w:r>
          </w:p>
          <w:p w:rsidR="009E46CF" w:rsidRPr="00BF3A6E" w:rsidRDefault="009E46CF" w:rsidP="009E46CF">
            <w:pPr>
              <w:jc w:val="both"/>
            </w:pPr>
            <w:r w:rsidRPr="00BF3A6E">
              <w:t xml:space="preserve">Leibniz: </w:t>
            </w:r>
            <w:proofErr w:type="spellStart"/>
            <w:r w:rsidRPr="00BF3A6E">
              <w:t>Monadológia</w:t>
            </w:r>
            <w:proofErr w:type="spellEnd"/>
            <w:r w:rsidRPr="00BF3A6E">
              <w:t xml:space="preserve"> </w:t>
            </w:r>
            <w:proofErr w:type="spellStart"/>
            <w:r w:rsidRPr="00BF3A6E">
              <w:t>in</w:t>
            </w:r>
            <w:proofErr w:type="spellEnd"/>
            <w:r w:rsidRPr="00BF3A6E">
              <w:t>: Leibniz válogatott filozófiai írásai. Európa, Budapest, 1986</w:t>
            </w:r>
          </w:p>
          <w:p w:rsidR="009E46CF" w:rsidRPr="00BF3A6E" w:rsidRDefault="009E46CF" w:rsidP="009E46CF">
            <w:r w:rsidRPr="00BF3A6E">
              <w:t>Spinoza: Etika, Osiris, 1997.</w:t>
            </w:r>
          </w:p>
          <w:p w:rsidR="009E46CF" w:rsidRPr="00BF3A6E" w:rsidRDefault="009E46CF" w:rsidP="009E46CF">
            <w:pPr>
              <w:ind w:left="1410" w:hanging="1410"/>
            </w:pPr>
            <w:r w:rsidRPr="00BF3A6E">
              <w:t xml:space="preserve">Locke: Értekezés az emberi értelemről (részletek). Osiris, Budapest, 2003. </w:t>
            </w:r>
          </w:p>
          <w:p w:rsidR="009E46CF" w:rsidRPr="00BF3A6E" w:rsidRDefault="009E46CF" w:rsidP="009E46CF">
            <w:pPr>
              <w:ind w:left="1410" w:hanging="1410"/>
            </w:pPr>
            <w:r w:rsidRPr="00BF3A6E">
              <w:t>Berkeley: Tanulmány az emberi megismerés alapelveiről. Gondolat Budapest, 1985. 147-273.o.</w:t>
            </w:r>
          </w:p>
          <w:p w:rsidR="009E46CF" w:rsidRPr="00BF3A6E" w:rsidRDefault="009E46CF" w:rsidP="009E46CF">
            <w:pPr>
              <w:ind w:left="1410" w:hanging="1410"/>
            </w:pPr>
            <w:r w:rsidRPr="00BF3A6E">
              <w:t xml:space="preserve">Hume: Értekezés az emberi értelemről. Gondolat. Budapest, 1976. </w:t>
            </w:r>
          </w:p>
          <w:p w:rsidR="00D92FD8" w:rsidRPr="006758C5" w:rsidRDefault="009E46CF" w:rsidP="009E46CF">
            <w:pPr>
              <w:ind w:left="1410" w:hanging="1410"/>
              <w:rPr>
                <w:sz w:val="22"/>
                <w:szCs w:val="22"/>
              </w:rPr>
            </w:pPr>
            <w:r w:rsidRPr="00BF3A6E">
              <w:t xml:space="preserve">Kant: A tiszta ész kritikája. </w:t>
            </w:r>
            <w:proofErr w:type="spellStart"/>
            <w:r w:rsidRPr="00BF3A6E">
              <w:t>Ictus</w:t>
            </w:r>
            <w:proofErr w:type="spellEnd"/>
            <w:r w:rsidRPr="00BF3A6E">
              <w:t xml:space="preserve"> Szeged, 1997. </w:t>
            </w:r>
          </w:p>
        </w:tc>
      </w:tr>
      <w:tr w:rsidR="00D92FD8" w:rsidRPr="008C485B" w:rsidTr="009E46CF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46CF" w:rsidRPr="00BF3A6E">
              <w:t>Dr. Kicsák Lóránt PhD főiskolai docens</w:t>
            </w:r>
          </w:p>
        </w:tc>
      </w:tr>
      <w:tr w:rsidR="00D92FD8" w:rsidRPr="008C485B" w:rsidTr="009E46CF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46CF" w:rsidRPr="00BF3A6E">
              <w:t xml:space="preserve">Dr. Vajda Mihály </w:t>
            </w:r>
            <w:proofErr w:type="spellStart"/>
            <w:r w:rsidR="009E46CF" w:rsidRPr="00BF3A6E">
              <w:t>DSc</w:t>
            </w:r>
            <w:proofErr w:type="spellEnd"/>
            <w:r w:rsidR="009E46CF" w:rsidRPr="00BF3A6E">
              <w:t xml:space="preserve"> professor emeritus akadémikus; Dr. Kicsák Lóránt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6A" w:rsidRDefault="00015B6A" w:rsidP="00D92FD8">
      <w:r>
        <w:separator/>
      </w:r>
    </w:p>
  </w:endnote>
  <w:endnote w:type="continuationSeparator" w:id="0">
    <w:p w:rsidR="00015B6A" w:rsidRDefault="00015B6A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6A" w:rsidRDefault="00015B6A" w:rsidP="00D92FD8">
      <w:r>
        <w:separator/>
      </w:r>
    </w:p>
  </w:footnote>
  <w:footnote w:type="continuationSeparator" w:id="0">
    <w:p w:rsidR="00015B6A" w:rsidRDefault="00015B6A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15B6A"/>
    <w:rsid w:val="00113F0A"/>
    <w:rsid w:val="001360BE"/>
    <w:rsid w:val="0029216B"/>
    <w:rsid w:val="00380B7F"/>
    <w:rsid w:val="0054096D"/>
    <w:rsid w:val="00642D6C"/>
    <w:rsid w:val="007D73E3"/>
    <w:rsid w:val="009E46CF"/>
    <w:rsid w:val="00A207E6"/>
    <w:rsid w:val="00A51A89"/>
    <w:rsid w:val="00CA1DE6"/>
    <w:rsid w:val="00CD21DD"/>
    <w:rsid w:val="00D92FD8"/>
    <w:rsid w:val="00E1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2013-06-28T11:15:00Z</dcterms:created>
  <dcterms:modified xsi:type="dcterms:W3CDTF">2013-06-28T11:18:00Z</dcterms:modified>
</cp:coreProperties>
</file>