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062648" w:rsidRPr="00F060F6" w:rsidTr="00717CA0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2648" w:rsidRPr="00F060F6" w:rsidRDefault="00062648" w:rsidP="00062648">
            <w:pPr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0F6">
              <w:rPr>
                <w:b/>
                <w:sz w:val="24"/>
                <w:szCs w:val="24"/>
              </w:rPr>
              <w:t>Általános etika II. (</w:t>
            </w:r>
            <w:proofErr w:type="spellStart"/>
            <w:r w:rsidRPr="00F060F6">
              <w:rPr>
                <w:b/>
                <w:sz w:val="24"/>
                <w:szCs w:val="24"/>
              </w:rPr>
              <w:t>gyak</w:t>
            </w:r>
            <w:proofErr w:type="spellEnd"/>
            <w:r w:rsidRPr="00F060F6">
              <w:rPr>
                <w:b/>
                <w:sz w:val="24"/>
                <w:szCs w:val="24"/>
              </w:rPr>
              <w:t>.)</w:t>
            </w:r>
          </w:p>
          <w:p w:rsidR="00062648" w:rsidRPr="00F060F6" w:rsidRDefault="00062648" w:rsidP="000626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>Kódja: NBB_SB109G3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2648" w:rsidRPr="00F060F6" w:rsidRDefault="00062648" w:rsidP="000626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F060F6" w:rsidTr="007D7BD7">
        <w:tc>
          <w:tcPr>
            <w:tcW w:w="9180" w:type="dxa"/>
            <w:gridSpan w:val="2"/>
          </w:tcPr>
          <w:p w:rsidR="003218A2" w:rsidRPr="00F060F6" w:rsidRDefault="003218A2" w:rsidP="00062648">
            <w:pPr>
              <w:spacing w:before="60"/>
              <w:jc w:val="both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A tanóra </w:t>
            </w:r>
            <w:proofErr w:type="gramStart"/>
            <w:r w:rsidRPr="00F060F6">
              <w:rPr>
                <w:sz w:val="24"/>
                <w:szCs w:val="24"/>
              </w:rPr>
              <w:t>típusa</w:t>
            </w:r>
            <w:r w:rsidRPr="00F060F6">
              <w:rPr>
                <w:rStyle w:val="Lbjegyzet-hivatkozs"/>
                <w:sz w:val="24"/>
                <w:szCs w:val="24"/>
              </w:rPr>
              <w:footnoteReference w:id="1"/>
            </w:r>
            <w:r w:rsidRPr="00F060F6">
              <w:rPr>
                <w:sz w:val="24"/>
                <w:szCs w:val="24"/>
              </w:rPr>
              <w:t>:</w:t>
            </w:r>
            <w:proofErr w:type="gramEnd"/>
            <w:r w:rsidR="00FE7D46" w:rsidRPr="00F060F6">
              <w:rPr>
                <w:sz w:val="24"/>
                <w:szCs w:val="24"/>
              </w:rPr>
              <w:t xml:space="preserve"> </w:t>
            </w:r>
            <w:r w:rsidR="00CA6414" w:rsidRPr="00062648">
              <w:rPr>
                <w:b/>
                <w:sz w:val="24"/>
                <w:szCs w:val="24"/>
              </w:rPr>
              <w:t>szeminárium</w:t>
            </w:r>
            <w:r w:rsidRPr="00F060F6">
              <w:rPr>
                <w:sz w:val="24"/>
                <w:szCs w:val="24"/>
              </w:rPr>
              <w:tab/>
              <w:t xml:space="preserve">és száma: </w:t>
            </w:r>
            <w:r w:rsidR="00062648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F060F6" w:rsidTr="007D7BD7">
        <w:tc>
          <w:tcPr>
            <w:tcW w:w="9180" w:type="dxa"/>
            <w:gridSpan w:val="2"/>
          </w:tcPr>
          <w:p w:rsidR="003218A2" w:rsidRPr="00F060F6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A számonkérés módja (</w:t>
            </w:r>
            <w:proofErr w:type="spellStart"/>
            <w:r w:rsidRPr="00F060F6">
              <w:rPr>
                <w:sz w:val="24"/>
                <w:szCs w:val="24"/>
              </w:rPr>
              <w:t>koll</w:t>
            </w:r>
            <w:proofErr w:type="spellEnd"/>
            <w:r w:rsidRPr="00F060F6">
              <w:rPr>
                <w:sz w:val="24"/>
                <w:szCs w:val="24"/>
              </w:rPr>
              <w:t>./</w:t>
            </w:r>
            <w:proofErr w:type="spellStart"/>
            <w:r w:rsidRPr="00F060F6">
              <w:rPr>
                <w:sz w:val="24"/>
                <w:szCs w:val="24"/>
              </w:rPr>
              <w:t>gyj</w:t>
            </w:r>
            <w:proofErr w:type="spellEnd"/>
            <w:r w:rsidRPr="00F060F6">
              <w:rPr>
                <w:sz w:val="24"/>
                <w:szCs w:val="24"/>
              </w:rPr>
              <w:t>./</w:t>
            </w:r>
            <w:proofErr w:type="gramStart"/>
            <w:r w:rsidRPr="00F060F6">
              <w:rPr>
                <w:sz w:val="24"/>
                <w:szCs w:val="24"/>
              </w:rPr>
              <w:t>egyéb</w:t>
            </w:r>
            <w:r w:rsidRPr="00F060F6">
              <w:rPr>
                <w:rStyle w:val="Lbjegyzet-hivatkozs"/>
                <w:sz w:val="24"/>
                <w:szCs w:val="24"/>
              </w:rPr>
              <w:footnoteReference w:id="2"/>
            </w:r>
            <w:r w:rsidRPr="00F060F6">
              <w:rPr>
                <w:sz w:val="24"/>
                <w:szCs w:val="24"/>
              </w:rPr>
              <w:t>)</w:t>
            </w:r>
            <w:proofErr w:type="gramEnd"/>
            <w:r w:rsidRPr="00F060F6">
              <w:rPr>
                <w:sz w:val="24"/>
                <w:szCs w:val="24"/>
              </w:rPr>
              <w:t xml:space="preserve">: </w:t>
            </w:r>
            <w:r w:rsidR="00CA6414" w:rsidRPr="00062648">
              <w:rPr>
                <w:b/>
                <w:sz w:val="24"/>
                <w:szCs w:val="24"/>
              </w:rPr>
              <w:t>gyakor</w:t>
            </w:r>
            <w:r w:rsidR="00E635E1" w:rsidRPr="00062648">
              <w:rPr>
                <w:b/>
                <w:sz w:val="24"/>
                <w:szCs w:val="24"/>
              </w:rPr>
              <w:t>lati jegy</w:t>
            </w:r>
          </w:p>
        </w:tc>
      </w:tr>
      <w:tr w:rsidR="003218A2" w:rsidRPr="00F060F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F060F6" w:rsidRDefault="003218A2" w:rsidP="007D7BD7">
            <w:pPr>
              <w:jc w:val="both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A tantárgy tantervi helye (hányadik félév):</w:t>
            </w:r>
            <w:r w:rsidR="00FE7D46" w:rsidRPr="00F060F6">
              <w:rPr>
                <w:sz w:val="24"/>
                <w:szCs w:val="24"/>
              </w:rPr>
              <w:t xml:space="preserve"> </w:t>
            </w:r>
            <w:r w:rsidR="00E635E1" w:rsidRPr="00062648">
              <w:rPr>
                <w:b/>
                <w:sz w:val="24"/>
                <w:szCs w:val="24"/>
              </w:rPr>
              <w:t>III.</w:t>
            </w:r>
          </w:p>
        </w:tc>
      </w:tr>
      <w:tr w:rsidR="003218A2" w:rsidRPr="00F060F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F060F6" w:rsidRDefault="003218A2" w:rsidP="007D7BD7">
            <w:pPr>
              <w:jc w:val="both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Előtanulmányi feltételek </w:t>
            </w:r>
            <w:r w:rsidRPr="00F060F6">
              <w:rPr>
                <w:i/>
                <w:sz w:val="24"/>
                <w:szCs w:val="24"/>
              </w:rPr>
              <w:t>(ha vannak)</w:t>
            </w:r>
            <w:r w:rsidRPr="00F060F6">
              <w:rPr>
                <w:sz w:val="24"/>
                <w:szCs w:val="24"/>
              </w:rPr>
              <w:t>:</w:t>
            </w:r>
            <w:r w:rsidRPr="00F060F6">
              <w:rPr>
                <w:i/>
                <w:sz w:val="24"/>
                <w:szCs w:val="24"/>
              </w:rPr>
              <w:t xml:space="preserve"> </w:t>
            </w:r>
            <w:r w:rsidR="001336B0" w:rsidRPr="00062648">
              <w:rPr>
                <w:sz w:val="24"/>
                <w:szCs w:val="24"/>
              </w:rPr>
              <w:t>NBB_SB106K3, NBB_SB107G3</w:t>
            </w:r>
          </w:p>
        </w:tc>
      </w:tr>
      <w:tr w:rsidR="00FE7D46" w:rsidRPr="00F060F6" w:rsidTr="00975C41">
        <w:trPr>
          <w:trHeight w:val="724"/>
        </w:trPr>
        <w:tc>
          <w:tcPr>
            <w:tcW w:w="9180" w:type="dxa"/>
            <w:gridSpan w:val="2"/>
          </w:tcPr>
          <w:p w:rsidR="00FE7D46" w:rsidRPr="00F060F6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>Tantárgyleírás</w:t>
            </w:r>
            <w:r w:rsidRPr="00F060F6">
              <w:rPr>
                <w:sz w:val="24"/>
                <w:szCs w:val="24"/>
              </w:rPr>
              <w:t>: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Az általános etika alapfogalmainak tükrében tárgyaljuk az erkölcsfilozófia gyakorlati vonatkozásait. Vizsgáljuk azokat az evilági bölcsességeket, amelyeket a filozófusok erkölcsi kérdésekre adott válaszaik során fogalmaztak meg az ókortól a huszadik századig. Áttekintjük, hogy a morálfilozófiák a „Mit lenne helyes tenni?” kérdésre milyen útmutatásokat, irányelveket fogalmaznak meg. A kérdésre adott általános válaszok, normák és szabályok formájában nyújthatnak segítséget a döntéshozó, cselekvő embernek. Az általános etikai alapfogalmak tisztázása után tanulmányozzuk az erkölcsfilozófia és a személyiségetika összefüggéseit, illetve a személyiségetikák paradigmatikus eseteit. </w:t>
            </w:r>
          </w:p>
          <w:p w:rsidR="001336B0" w:rsidRPr="00F060F6" w:rsidRDefault="001336B0" w:rsidP="001336B0">
            <w:pPr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>II. Morálfilozófiák:</w:t>
            </w:r>
          </w:p>
          <w:p w:rsidR="001336B0" w:rsidRPr="00F060F6" w:rsidRDefault="001336B0" w:rsidP="001336B0">
            <w:pPr>
              <w:rPr>
                <w:i/>
                <w:sz w:val="24"/>
                <w:szCs w:val="24"/>
              </w:rPr>
            </w:pPr>
            <w:r w:rsidRPr="00F060F6">
              <w:rPr>
                <w:i/>
                <w:sz w:val="24"/>
                <w:szCs w:val="24"/>
              </w:rPr>
              <w:t>Az előadásokhoz kapcsolódóan szövegolvasó szemináriumi foglalkozások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Hérakleitosz töredékei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Platón: </w:t>
            </w:r>
            <w:proofErr w:type="spellStart"/>
            <w:r w:rsidRPr="00F060F6">
              <w:rPr>
                <w:sz w:val="24"/>
                <w:szCs w:val="24"/>
              </w:rPr>
              <w:t>Phaidon</w:t>
            </w:r>
            <w:proofErr w:type="spellEnd"/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Arisztotelész: Nikomakhoszi etika I-II. könyv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Szent Ágoston: Vallomások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Descartes: Értekezés a módszerről III. rész; </w:t>
            </w:r>
            <w:proofErr w:type="gramStart"/>
            <w:r w:rsidRPr="00F060F6">
              <w:rPr>
                <w:sz w:val="24"/>
                <w:szCs w:val="24"/>
              </w:rPr>
              <w:t>A</w:t>
            </w:r>
            <w:proofErr w:type="gramEnd"/>
            <w:r w:rsidRPr="00F060F6">
              <w:rPr>
                <w:sz w:val="24"/>
                <w:szCs w:val="24"/>
              </w:rPr>
              <w:t xml:space="preserve"> lélek szenvedélyei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Spinoza: Etika III., V-VI. rész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Hume összes esszéi II. 297-313.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Kant: A gyakorlati ész kritikája.</w:t>
            </w:r>
          </w:p>
          <w:p w:rsidR="00FE7D46" w:rsidRPr="00F060F6" w:rsidRDefault="001336B0" w:rsidP="00F060F6">
            <w:pPr>
              <w:spacing w:after="120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Heller Ágnes: Morálfilozófia: Köznapi erények, intézményes szabályok, univerzális maximák; </w:t>
            </w:r>
            <w:proofErr w:type="gramStart"/>
            <w:r w:rsidRPr="00F060F6">
              <w:rPr>
                <w:sz w:val="24"/>
                <w:szCs w:val="24"/>
              </w:rPr>
              <w:t>A</w:t>
            </w:r>
            <w:proofErr w:type="gramEnd"/>
            <w:r w:rsidRPr="00F060F6">
              <w:rPr>
                <w:sz w:val="24"/>
                <w:szCs w:val="24"/>
              </w:rPr>
              <w:t xml:space="preserve"> szolidáris személy, a jó polgár, a világgal való törődés.</w:t>
            </w:r>
          </w:p>
        </w:tc>
      </w:tr>
      <w:tr w:rsidR="00FE7D46" w:rsidRPr="00F060F6" w:rsidTr="00975C41">
        <w:trPr>
          <w:trHeight w:val="1271"/>
        </w:trPr>
        <w:tc>
          <w:tcPr>
            <w:tcW w:w="9180" w:type="dxa"/>
            <w:gridSpan w:val="2"/>
          </w:tcPr>
          <w:p w:rsidR="00FE7D46" w:rsidRPr="00F060F6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0F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Heller Ágnes: Általános etika. Cserépfalvi, Bp. 1994.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Heller Ágnes: Morálfilozófia. Cserépfalvi, Bp. 1996.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Heller Ágnes: Személyiségetika. Osiris, Bp. 1999.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Hérakleitosz töredékei. </w:t>
            </w:r>
            <w:proofErr w:type="spellStart"/>
            <w:r w:rsidRPr="00F060F6">
              <w:rPr>
                <w:sz w:val="24"/>
                <w:szCs w:val="24"/>
              </w:rPr>
              <w:t>In</w:t>
            </w:r>
            <w:proofErr w:type="spellEnd"/>
            <w:r w:rsidRPr="00F060F6">
              <w:rPr>
                <w:sz w:val="24"/>
                <w:szCs w:val="24"/>
              </w:rPr>
              <w:t>: Görög gondolkodók I. Kossuth, Bp. 1992. 31-41.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Platón: </w:t>
            </w:r>
            <w:proofErr w:type="spellStart"/>
            <w:r w:rsidRPr="00F060F6">
              <w:rPr>
                <w:sz w:val="24"/>
                <w:szCs w:val="24"/>
              </w:rPr>
              <w:t>Pahidón</w:t>
            </w:r>
            <w:proofErr w:type="spellEnd"/>
            <w:r w:rsidRPr="00F060F6">
              <w:rPr>
                <w:sz w:val="24"/>
                <w:szCs w:val="24"/>
              </w:rPr>
              <w:t xml:space="preserve">. </w:t>
            </w:r>
            <w:proofErr w:type="spellStart"/>
            <w:r w:rsidRPr="00F060F6">
              <w:rPr>
                <w:sz w:val="24"/>
                <w:szCs w:val="24"/>
              </w:rPr>
              <w:t>In</w:t>
            </w:r>
            <w:proofErr w:type="spellEnd"/>
            <w:r w:rsidRPr="00F060F6">
              <w:rPr>
                <w:sz w:val="24"/>
                <w:szCs w:val="24"/>
              </w:rPr>
              <w:t>: Platón összes művei. I. Európa, Bp. 1984. 1019-1119.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Arisztotelész: Nikomakhoszi etika I-II. könyv. Európa, Bp. 1997. 5-63.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Szent Ágoston: Vallomások. Gondolat, Bp. 1987.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Descartes: Értekezés a módszerről. III. Kossuth, Bp. 1991. 39-47.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Descartes: A lélek szenvedélyei. </w:t>
            </w:r>
            <w:proofErr w:type="spellStart"/>
            <w:r w:rsidRPr="00F060F6">
              <w:rPr>
                <w:sz w:val="24"/>
                <w:szCs w:val="24"/>
              </w:rPr>
              <w:t>Ictus</w:t>
            </w:r>
            <w:proofErr w:type="spellEnd"/>
            <w:r w:rsidRPr="00F060F6">
              <w:rPr>
                <w:sz w:val="24"/>
                <w:szCs w:val="24"/>
              </w:rPr>
              <w:t>, 1994.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Spinoza: Etika. III. V., VI. Osiris, Bp. 1997. 21-81. illetve 253-393.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Hume összes esszéi II. Atlantisz, 1994. 297-313.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Kant: Az erkölcsök metafizikájának alapvetése. A gyakorlati ész kritikája. Az erkölcsök metafizikája. Gondolat, Bp. 1991.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E. </w:t>
            </w:r>
            <w:proofErr w:type="spellStart"/>
            <w:r w:rsidRPr="00F060F6">
              <w:rPr>
                <w:sz w:val="24"/>
                <w:szCs w:val="24"/>
              </w:rPr>
              <w:t>Fromm</w:t>
            </w:r>
            <w:proofErr w:type="spellEnd"/>
            <w:r w:rsidRPr="00F060F6">
              <w:rPr>
                <w:sz w:val="24"/>
                <w:szCs w:val="24"/>
              </w:rPr>
              <w:t>: Az önmagáért való ember.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Kierkegaard: Vagy-vagy. Gondolat, Bp. 1978.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Kierkegaard: Félelem és reszketés. Európa, Bp. 1986.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lastRenderedPageBreak/>
              <w:t>S. Kierkegaard írásaiból. Gondolat, Bp. 1982.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Nietzsche válogatott írásai. Gondolat, Bp. 1984.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Nietzsche: A nem-morálisan fölfogott igazságról és hazugságról. </w:t>
            </w:r>
            <w:proofErr w:type="spellStart"/>
            <w:r w:rsidRPr="00F060F6">
              <w:rPr>
                <w:sz w:val="24"/>
                <w:szCs w:val="24"/>
              </w:rPr>
              <w:t>Atheneum</w:t>
            </w:r>
            <w:proofErr w:type="spellEnd"/>
            <w:r w:rsidRPr="00F060F6">
              <w:rPr>
                <w:sz w:val="24"/>
                <w:szCs w:val="24"/>
              </w:rPr>
              <w:t xml:space="preserve"> I. T-TWINS, 1992/3.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Nietzsche: </w:t>
            </w:r>
            <w:proofErr w:type="spellStart"/>
            <w:r w:rsidRPr="00F060F6">
              <w:rPr>
                <w:sz w:val="24"/>
                <w:szCs w:val="24"/>
              </w:rPr>
              <w:t>Im-ígyen</w:t>
            </w:r>
            <w:proofErr w:type="spellEnd"/>
            <w:r w:rsidRPr="00F060F6">
              <w:rPr>
                <w:sz w:val="24"/>
                <w:szCs w:val="24"/>
              </w:rPr>
              <w:t xml:space="preserve"> </w:t>
            </w:r>
            <w:proofErr w:type="spellStart"/>
            <w:r w:rsidRPr="00F060F6">
              <w:rPr>
                <w:sz w:val="24"/>
                <w:szCs w:val="24"/>
              </w:rPr>
              <w:t>szóla</w:t>
            </w:r>
            <w:proofErr w:type="spellEnd"/>
            <w:r w:rsidRPr="00F060F6">
              <w:rPr>
                <w:sz w:val="24"/>
                <w:szCs w:val="24"/>
              </w:rPr>
              <w:t xml:space="preserve"> </w:t>
            </w:r>
            <w:proofErr w:type="spellStart"/>
            <w:r w:rsidRPr="00F060F6">
              <w:rPr>
                <w:sz w:val="24"/>
                <w:szCs w:val="24"/>
              </w:rPr>
              <w:t>Zarathustra</w:t>
            </w:r>
            <w:proofErr w:type="spellEnd"/>
            <w:r w:rsidRPr="00F060F6">
              <w:rPr>
                <w:sz w:val="24"/>
                <w:szCs w:val="24"/>
              </w:rPr>
              <w:t>. Grill, Bp. 1908. (Újra kiadás: 1988.)</w:t>
            </w:r>
          </w:p>
          <w:p w:rsidR="00FE7D46" w:rsidRPr="00F060F6" w:rsidRDefault="00F060F6" w:rsidP="00F060F6">
            <w:pPr>
              <w:spacing w:after="120"/>
              <w:rPr>
                <w:b/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Nietzsche: </w:t>
            </w:r>
            <w:proofErr w:type="spellStart"/>
            <w:r w:rsidRPr="00F060F6">
              <w:rPr>
                <w:sz w:val="24"/>
                <w:szCs w:val="24"/>
              </w:rPr>
              <w:t>Ecce</w:t>
            </w:r>
            <w:proofErr w:type="spellEnd"/>
            <w:r w:rsidRPr="00F060F6">
              <w:rPr>
                <w:sz w:val="24"/>
                <w:szCs w:val="24"/>
              </w:rPr>
              <w:t xml:space="preserve"> homo. Göncöl, Bp. 1992.</w:t>
            </w:r>
          </w:p>
        </w:tc>
      </w:tr>
      <w:tr w:rsidR="003218A2" w:rsidRPr="00F060F6" w:rsidTr="007D7BD7">
        <w:trPr>
          <w:trHeight w:val="338"/>
        </w:trPr>
        <w:tc>
          <w:tcPr>
            <w:tcW w:w="9180" w:type="dxa"/>
            <w:gridSpan w:val="2"/>
          </w:tcPr>
          <w:p w:rsidR="003218A2" w:rsidRPr="00F060F6" w:rsidRDefault="003218A2" w:rsidP="00F060F6">
            <w:pPr>
              <w:spacing w:before="120" w:after="120"/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F060F6">
              <w:rPr>
                <w:sz w:val="24"/>
                <w:szCs w:val="24"/>
              </w:rPr>
              <w:t>(</w:t>
            </w:r>
            <w:r w:rsidRPr="00F060F6">
              <w:rPr>
                <w:i/>
                <w:sz w:val="24"/>
                <w:szCs w:val="24"/>
              </w:rPr>
              <w:t>név, beosztás, tud. fokozat</w:t>
            </w:r>
            <w:r w:rsidRPr="00F060F6">
              <w:rPr>
                <w:sz w:val="24"/>
                <w:szCs w:val="24"/>
              </w:rPr>
              <w:t>)</w:t>
            </w:r>
            <w:r w:rsidRPr="00F060F6">
              <w:rPr>
                <w:b/>
                <w:sz w:val="24"/>
                <w:szCs w:val="24"/>
              </w:rPr>
              <w:t>:</w:t>
            </w:r>
            <w:r w:rsidR="00FE7D46" w:rsidRPr="00F060F6">
              <w:rPr>
                <w:b/>
                <w:sz w:val="24"/>
                <w:szCs w:val="24"/>
              </w:rPr>
              <w:t xml:space="preserve"> </w:t>
            </w:r>
            <w:r w:rsidR="00F060F6" w:rsidRPr="00F060F6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  <w:tr w:rsidR="003218A2" w:rsidRPr="00F060F6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F060F6" w:rsidRDefault="003218A2" w:rsidP="00F060F6">
            <w:pPr>
              <w:spacing w:before="120" w:after="120"/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060F6">
              <w:rPr>
                <w:b/>
                <w:sz w:val="24"/>
                <w:szCs w:val="24"/>
              </w:rPr>
              <w:t>oktató(</w:t>
            </w:r>
            <w:proofErr w:type="gramEnd"/>
            <w:r w:rsidRPr="00F060F6">
              <w:rPr>
                <w:b/>
                <w:sz w:val="24"/>
                <w:szCs w:val="24"/>
              </w:rPr>
              <w:t xml:space="preserve">k), </w:t>
            </w:r>
            <w:r w:rsidRPr="00F060F6">
              <w:rPr>
                <w:sz w:val="24"/>
                <w:szCs w:val="24"/>
              </w:rPr>
              <w:t>ha vannak</w:t>
            </w:r>
            <w:r w:rsidRPr="00F060F6">
              <w:rPr>
                <w:b/>
                <w:sz w:val="24"/>
                <w:szCs w:val="24"/>
              </w:rPr>
              <w:t xml:space="preserve"> </w:t>
            </w:r>
            <w:r w:rsidRPr="00F060F6">
              <w:rPr>
                <w:sz w:val="24"/>
                <w:szCs w:val="24"/>
              </w:rPr>
              <w:t>(</w:t>
            </w:r>
            <w:r w:rsidRPr="00F060F6">
              <w:rPr>
                <w:i/>
                <w:sz w:val="24"/>
                <w:szCs w:val="24"/>
              </w:rPr>
              <w:t>név, beosztás, tud. fokozat</w:t>
            </w:r>
            <w:r w:rsidRPr="00F060F6">
              <w:rPr>
                <w:sz w:val="24"/>
                <w:szCs w:val="24"/>
              </w:rPr>
              <w:t>)</w:t>
            </w:r>
            <w:r w:rsidRPr="00F060F6">
              <w:rPr>
                <w:b/>
                <w:sz w:val="24"/>
                <w:szCs w:val="24"/>
              </w:rPr>
              <w:t>:</w:t>
            </w:r>
            <w:r w:rsidR="00FE7D46" w:rsidRPr="00F060F6">
              <w:rPr>
                <w:b/>
                <w:sz w:val="24"/>
                <w:szCs w:val="24"/>
              </w:rPr>
              <w:t xml:space="preserve"> </w:t>
            </w:r>
            <w:r w:rsidR="00F060F6" w:rsidRPr="00F060F6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</w:tbl>
    <w:p w:rsidR="008E5F9A" w:rsidRPr="00F060F6" w:rsidRDefault="008E5F9A" w:rsidP="003218A2">
      <w:pPr>
        <w:rPr>
          <w:sz w:val="24"/>
          <w:szCs w:val="24"/>
        </w:rPr>
      </w:pPr>
    </w:p>
    <w:sectPr w:rsidR="008E5F9A" w:rsidRPr="00F060F6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99" w:rsidRDefault="00577C99" w:rsidP="0094340E">
      <w:r>
        <w:separator/>
      </w:r>
    </w:p>
  </w:endnote>
  <w:endnote w:type="continuationSeparator" w:id="0">
    <w:p w:rsidR="00577C99" w:rsidRDefault="00577C9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99" w:rsidRDefault="00577C99" w:rsidP="0094340E">
      <w:r>
        <w:separator/>
      </w:r>
    </w:p>
  </w:footnote>
  <w:footnote w:type="continuationSeparator" w:id="0">
    <w:p w:rsidR="00577C99" w:rsidRDefault="00577C99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62648"/>
    <w:rsid w:val="00130CDD"/>
    <w:rsid w:val="001336B0"/>
    <w:rsid w:val="00167F7F"/>
    <w:rsid w:val="001E1BC9"/>
    <w:rsid w:val="003218A2"/>
    <w:rsid w:val="00343065"/>
    <w:rsid w:val="00577C99"/>
    <w:rsid w:val="00634C96"/>
    <w:rsid w:val="00673458"/>
    <w:rsid w:val="00766CEA"/>
    <w:rsid w:val="007D7BD7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C1422D"/>
    <w:rsid w:val="00CA6414"/>
    <w:rsid w:val="00D219ED"/>
    <w:rsid w:val="00D445DE"/>
    <w:rsid w:val="00D87D73"/>
    <w:rsid w:val="00DB2A97"/>
    <w:rsid w:val="00E635E1"/>
    <w:rsid w:val="00EB69FB"/>
    <w:rsid w:val="00F01C44"/>
    <w:rsid w:val="00F060F6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5562-5035-48A6-A069-D804DD0F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2013-07-01T12:20:00Z</dcterms:created>
  <dcterms:modified xsi:type="dcterms:W3CDTF">2013-07-01T12:20:00Z</dcterms:modified>
</cp:coreProperties>
</file>