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268"/>
      </w:tblGrid>
      <w:tr w:rsidR="00E02BC4" w:rsidRPr="008C485B">
        <w:tc>
          <w:tcPr>
            <w:tcW w:w="7088" w:type="dxa"/>
            <w:tcMar>
              <w:top w:w="57" w:type="dxa"/>
              <w:bottom w:w="57" w:type="dxa"/>
            </w:tcMar>
          </w:tcPr>
          <w:p w:rsidR="00E02BC4" w:rsidRDefault="00E02BC4" w:rsidP="000E2072">
            <w:pPr>
              <w:jc w:val="both"/>
              <w:rPr>
                <w:b/>
                <w:bCs/>
                <w:sz w:val="24"/>
                <w:szCs w:val="24"/>
              </w:rPr>
            </w:pPr>
            <w:r w:rsidRPr="000E2072">
              <w:rPr>
                <w:b/>
                <w:bCs/>
                <w:sz w:val="24"/>
                <w:szCs w:val="24"/>
              </w:rPr>
              <w:t>Tantárgy neve: Teória és praxis – elméleti alapok</w:t>
            </w:r>
          </w:p>
          <w:p w:rsidR="00013697" w:rsidRPr="000E2072" w:rsidRDefault="001F4947" w:rsidP="000E20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kódja: L</w:t>
            </w:r>
            <w:r w:rsidR="00013697">
              <w:rPr>
                <w:b/>
                <w:bCs/>
                <w:sz w:val="24"/>
                <w:szCs w:val="24"/>
              </w:rPr>
              <w:t>OB_ET111K2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02BC4" w:rsidRPr="000E2072" w:rsidRDefault="00E02BC4" w:rsidP="000E2072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E2072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E02BC4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02BC4" w:rsidRPr="000E2072" w:rsidRDefault="00E02BC4" w:rsidP="001F4947">
            <w:pPr>
              <w:spacing w:before="60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A tanóra típusa</w:t>
            </w:r>
            <w:r w:rsidRPr="000E2072">
              <w:rPr>
                <w:rStyle w:val="Lbjegyzet-hivatkozs"/>
                <w:sz w:val="24"/>
                <w:szCs w:val="24"/>
              </w:rPr>
              <w:footnoteReference w:id="1"/>
            </w:r>
            <w:r w:rsidRPr="000E2072">
              <w:rPr>
                <w:sz w:val="24"/>
                <w:szCs w:val="24"/>
              </w:rPr>
              <w:t xml:space="preserve">: </w:t>
            </w:r>
            <w:r w:rsidRPr="00013697">
              <w:rPr>
                <w:b/>
                <w:sz w:val="24"/>
                <w:szCs w:val="24"/>
              </w:rPr>
              <w:t>előadás</w:t>
            </w:r>
            <w:r w:rsidRPr="000E2072">
              <w:rPr>
                <w:sz w:val="24"/>
                <w:szCs w:val="24"/>
              </w:rPr>
              <w:t xml:space="preserve"> és </w:t>
            </w:r>
            <w:r w:rsidR="001F4947">
              <w:rPr>
                <w:sz w:val="24"/>
                <w:szCs w:val="24"/>
              </w:rPr>
              <w:t>féléves óra</w:t>
            </w:r>
            <w:r w:rsidRPr="000E2072">
              <w:rPr>
                <w:sz w:val="24"/>
                <w:szCs w:val="24"/>
              </w:rPr>
              <w:t xml:space="preserve">száma: </w:t>
            </w:r>
            <w:r w:rsidR="001F494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02BC4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02BC4" w:rsidRPr="000E2072" w:rsidRDefault="00E02BC4" w:rsidP="000E2072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A számonkérés módja (</w:t>
            </w:r>
            <w:proofErr w:type="spellStart"/>
            <w:r w:rsidRPr="000E2072">
              <w:rPr>
                <w:sz w:val="24"/>
                <w:szCs w:val="24"/>
              </w:rPr>
              <w:t>koll</w:t>
            </w:r>
            <w:proofErr w:type="spellEnd"/>
            <w:r w:rsidRPr="000E2072">
              <w:rPr>
                <w:sz w:val="24"/>
                <w:szCs w:val="24"/>
              </w:rPr>
              <w:t xml:space="preserve">. / </w:t>
            </w:r>
            <w:proofErr w:type="spellStart"/>
            <w:r w:rsidRPr="000E2072">
              <w:rPr>
                <w:sz w:val="24"/>
                <w:szCs w:val="24"/>
              </w:rPr>
              <w:t>gyj</w:t>
            </w:r>
            <w:proofErr w:type="spellEnd"/>
            <w:r w:rsidRPr="000E2072">
              <w:rPr>
                <w:sz w:val="24"/>
                <w:szCs w:val="24"/>
              </w:rPr>
              <w:t xml:space="preserve">. / </w:t>
            </w:r>
            <w:proofErr w:type="gramStart"/>
            <w:r w:rsidRPr="000E2072">
              <w:rPr>
                <w:sz w:val="24"/>
                <w:szCs w:val="24"/>
              </w:rPr>
              <w:t>egyéb</w:t>
            </w:r>
            <w:r w:rsidRPr="000E2072">
              <w:rPr>
                <w:rStyle w:val="Lbjegyzet-hivatkozs"/>
                <w:sz w:val="24"/>
                <w:szCs w:val="24"/>
              </w:rPr>
              <w:footnoteReference w:id="2"/>
            </w:r>
            <w:r w:rsidRPr="000E2072">
              <w:rPr>
                <w:sz w:val="24"/>
                <w:szCs w:val="24"/>
              </w:rPr>
              <w:t>)</w:t>
            </w:r>
            <w:proofErr w:type="gramEnd"/>
            <w:r w:rsidRPr="000E2072">
              <w:rPr>
                <w:sz w:val="24"/>
                <w:szCs w:val="24"/>
              </w:rPr>
              <w:t xml:space="preserve">: </w:t>
            </w:r>
            <w:r w:rsidRPr="000E2072">
              <w:rPr>
                <w:b/>
                <w:bCs/>
                <w:sz w:val="24"/>
                <w:szCs w:val="24"/>
              </w:rPr>
              <w:t>kollokvium</w:t>
            </w:r>
          </w:p>
        </w:tc>
      </w:tr>
      <w:tr w:rsidR="00E02BC4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02BC4" w:rsidRPr="000E2072" w:rsidRDefault="00E02BC4" w:rsidP="000E2072">
            <w:pPr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 xml:space="preserve">A tantárgy tantervi helye (hányadik félév): </w:t>
            </w:r>
            <w:r w:rsidRPr="000E2072">
              <w:rPr>
                <w:b/>
                <w:bCs/>
                <w:sz w:val="24"/>
                <w:szCs w:val="24"/>
              </w:rPr>
              <w:t>VI.</w:t>
            </w:r>
          </w:p>
        </w:tc>
      </w:tr>
      <w:tr w:rsidR="00E02BC4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02BC4" w:rsidRPr="000E2072" w:rsidRDefault="00E02BC4" w:rsidP="000E2072">
            <w:pPr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 xml:space="preserve">Előtanulmányi feltételek </w:t>
            </w:r>
            <w:r w:rsidRPr="000E2072">
              <w:rPr>
                <w:i/>
                <w:iCs/>
                <w:sz w:val="24"/>
                <w:szCs w:val="24"/>
              </w:rPr>
              <w:t>(ha vannak)</w:t>
            </w:r>
            <w:r w:rsidRPr="000E2072">
              <w:rPr>
                <w:sz w:val="24"/>
                <w:szCs w:val="24"/>
              </w:rPr>
              <w:t>:</w:t>
            </w:r>
            <w:r w:rsidRPr="000E2072">
              <w:rPr>
                <w:i/>
                <w:iCs/>
                <w:sz w:val="24"/>
                <w:szCs w:val="24"/>
              </w:rPr>
              <w:t xml:space="preserve"> </w:t>
            </w:r>
            <w:r w:rsidRPr="000E2072">
              <w:rPr>
                <w:b/>
                <w:bCs/>
                <w:sz w:val="24"/>
                <w:szCs w:val="24"/>
              </w:rPr>
              <w:t>–</w:t>
            </w:r>
          </w:p>
        </w:tc>
      </w:tr>
      <w:tr w:rsidR="00E02BC4" w:rsidRPr="008C485B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E02BC4" w:rsidRPr="000E2072" w:rsidRDefault="00E02BC4" w:rsidP="000E2072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E2072">
              <w:rPr>
                <w:b/>
                <w:bCs/>
                <w:sz w:val="24"/>
                <w:szCs w:val="24"/>
              </w:rPr>
              <w:t>Tantárgy-leírás</w:t>
            </w:r>
            <w:r w:rsidRPr="000E2072">
              <w:rPr>
                <w:sz w:val="24"/>
                <w:szCs w:val="24"/>
              </w:rPr>
              <w:t xml:space="preserve">: az elsajátítandó </w:t>
            </w:r>
            <w:r w:rsidRPr="000E2072">
              <w:rPr>
                <w:sz w:val="24"/>
                <w:szCs w:val="24"/>
                <w:u w:val="single"/>
              </w:rPr>
              <w:t>ismeretanyag</w:t>
            </w:r>
            <w:r w:rsidRPr="000E2072">
              <w:rPr>
                <w:sz w:val="24"/>
                <w:szCs w:val="24"/>
              </w:rPr>
              <w:t xml:space="preserve"> és a kialakítandó </w:t>
            </w:r>
            <w:r w:rsidRPr="000E2072">
              <w:rPr>
                <w:sz w:val="24"/>
                <w:szCs w:val="24"/>
                <w:u w:val="single"/>
              </w:rPr>
              <w:t>kompetenciák</w:t>
            </w:r>
            <w:r w:rsidRPr="000E2072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02BC4" w:rsidRPr="008C485B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02BC4" w:rsidRPr="005E3006" w:rsidRDefault="00E02BC4" w:rsidP="005E3006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 xml:space="preserve">A kurzus célja a hallgatók megismertetése azokkal </w:t>
            </w:r>
            <w:r w:rsidRPr="005E3006">
              <w:rPr>
                <w:color w:val="000000"/>
                <w:sz w:val="22"/>
                <w:szCs w:val="22"/>
              </w:rPr>
              <w:t xml:space="preserve">az európai kultúrában kialakult, elterjedt és gyakorolt üdvösségtechnikákkal „melyek – Michel Foucault szavaival - az egyén számára lehetővé teszik, hogy egyedül vagy mások segítségével a saját testén és lelkén, a saját gondolatain, viselkedésén és létmódján különböző műveleteket végezzen el, megváltoztassa önmagát, hogy ezzel elérje a boldogság, a tisztaság, a bölcsesség, a tökéletesség vagy a hallhatatlanság valamilyen állapotát”. Ilyenek a különböző meditációs gyakorlatok, koncentrációs gyakorlatok, az önuralom, az éberség, az önvizsgálat, a lelki vizsgálat, az emlékezetbe vésés gyakorlatai, a magunkkal és másokkal folytatott beszélgetés, az olvasás, az írás, az önmegtartóztatás, bizonyos cselekedetek tervszerű végrehajtásának technikái, az őszinteség gyakorlása, a (nyilvános) vallomástétel, perspektívaváltás stb. </w:t>
            </w:r>
          </w:p>
          <w:p w:rsidR="00E02BC4" w:rsidRPr="005E3006" w:rsidRDefault="00E02BC4" w:rsidP="005E3006">
            <w:pPr>
              <w:jc w:val="both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>Ezek a gyakorlatok a hellenisztikus kor filozófiai iskoláiban élték virágkorukat, amikor is a filozófia nem elméleti diskurzusok előállításban, hanem egy életforma kialakításában találta meg lényegi feladatát. A történetük vizsgálata magyarázatot keres arra, hogy miként szorultak ki a hivatalos filozófiából, és őrződtek meg először a keresztény lelkiség, majd pedig az újkori szekularizáció nyomán</w:t>
            </w:r>
            <w:r>
              <w:rPr>
                <w:sz w:val="22"/>
                <w:szCs w:val="22"/>
              </w:rPr>
              <w:t>,</w:t>
            </w:r>
            <w:r w:rsidRPr="005E3006">
              <w:rPr>
                <w:sz w:val="22"/>
                <w:szCs w:val="22"/>
              </w:rPr>
              <w:t xml:space="preserve"> a filozófián kívüli terápiák gyakorlataiban. Ezzel azt is felmérjük, hogy milyen esélyei vannak manapság a </w:t>
            </w:r>
            <w:proofErr w:type="gramStart"/>
            <w:r w:rsidRPr="005E3006">
              <w:rPr>
                <w:sz w:val="22"/>
                <w:szCs w:val="22"/>
              </w:rPr>
              <w:t>filozófia</w:t>
            </w:r>
            <w:proofErr w:type="gramEnd"/>
            <w:r w:rsidRPr="005E3006">
              <w:rPr>
                <w:sz w:val="22"/>
                <w:szCs w:val="22"/>
              </w:rPr>
              <w:t xml:space="preserve"> mint életmód koncepciójának.</w:t>
            </w:r>
          </w:p>
          <w:p w:rsidR="00E02BC4" w:rsidRPr="005E3006" w:rsidRDefault="00E02BC4" w:rsidP="005E3006">
            <w:pPr>
              <w:jc w:val="both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>Az európai filozófiai hagyományon túl, más kultúrák spirituális gyakorlataira is kitérünk.</w:t>
            </w:r>
          </w:p>
          <w:p w:rsidR="00E02BC4" w:rsidRPr="000E2072" w:rsidRDefault="00E02BC4" w:rsidP="005E3006">
            <w:pPr>
              <w:jc w:val="both"/>
              <w:rPr>
                <w:sz w:val="22"/>
                <w:szCs w:val="22"/>
              </w:rPr>
            </w:pPr>
          </w:p>
        </w:tc>
      </w:tr>
      <w:tr w:rsidR="00E02BC4" w:rsidRPr="008C485B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02BC4" w:rsidRPr="000E2072" w:rsidRDefault="00E02BC4" w:rsidP="000E2072">
            <w:pPr>
              <w:jc w:val="both"/>
              <w:rPr>
                <w:b/>
                <w:bCs/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 xml:space="preserve">A </w:t>
            </w:r>
            <w:r w:rsidRPr="000E2072">
              <w:rPr>
                <w:b/>
                <w:bCs/>
                <w:sz w:val="24"/>
                <w:szCs w:val="24"/>
              </w:rPr>
              <w:t>3-5</w:t>
            </w:r>
            <w:r w:rsidRPr="000E2072">
              <w:rPr>
                <w:sz w:val="24"/>
                <w:szCs w:val="24"/>
              </w:rPr>
              <w:t xml:space="preserve"> legfontosabb </w:t>
            </w:r>
            <w:r w:rsidRPr="000E2072">
              <w:rPr>
                <w:i/>
                <w:iCs/>
                <w:sz w:val="24"/>
                <w:szCs w:val="24"/>
              </w:rPr>
              <w:t>kötelező,</w:t>
            </w:r>
            <w:r w:rsidRPr="000E2072">
              <w:rPr>
                <w:sz w:val="24"/>
                <w:szCs w:val="24"/>
              </w:rPr>
              <w:t xml:space="preserve"> illetve </w:t>
            </w:r>
            <w:r w:rsidRPr="000E2072">
              <w:rPr>
                <w:i/>
                <w:iCs/>
                <w:sz w:val="24"/>
                <w:szCs w:val="24"/>
              </w:rPr>
              <w:t>ajánlott</w:t>
            </w:r>
            <w:r w:rsidRPr="000E207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2072">
              <w:rPr>
                <w:b/>
                <w:bCs/>
                <w:sz w:val="24"/>
                <w:szCs w:val="24"/>
              </w:rPr>
              <w:t xml:space="preserve">irodalom </w:t>
            </w:r>
            <w:r w:rsidRPr="000E2072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E02BC4" w:rsidRPr="008C485B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02BC4" w:rsidRPr="005E3006" w:rsidRDefault="00E02BC4" w:rsidP="000E2072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 xml:space="preserve">Platón: Első </w:t>
            </w:r>
            <w:proofErr w:type="spellStart"/>
            <w:r w:rsidRPr="005E3006">
              <w:rPr>
                <w:sz w:val="22"/>
                <w:szCs w:val="22"/>
              </w:rPr>
              <w:t>Alkibiadész</w:t>
            </w:r>
            <w:proofErr w:type="spellEnd"/>
            <w:r w:rsidRPr="005E3006">
              <w:rPr>
                <w:sz w:val="22"/>
                <w:szCs w:val="22"/>
              </w:rPr>
              <w:t xml:space="preserve">, </w:t>
            </w:r>
            <w:proofErr w:type="spellStart"/>
            <w:r w:rsidRPr="005E3006">
              <w:rPr>
                <w:sz w:val="22"/>
                <w:szCs w:val="22"/>
              </w:rPr>
              <w:t>in</w:t>
            </w:r>
            <w:proofErr w:type="spellEnd"/>
            <w:r w:rsidRPr="005E3006">
              <w:rPr>
                <w:sz w:val="22"/>
                <w:szCs w:val="22"/>
              </w:rPr>
              <w:t>: Apokrif dialógusok, Atlantisz, Budapest, 2005.</w:t>
            </w:r>
          </w:p>
          <w:p w:rsidR="00E02BC4" w:rsidRPr="005E3006" w:rsidRDefault="00E02BC4" w:rsidP="001C5F6A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>Platón: Szókratész védőbeszéde</w:t>
            </w:r>
          </w:p>
          <w:p w:rsidR="00E02BC4" w:rsidRPr="005E3006" w:rsidRDefault="00E02BC4" w:rsidP="000E2072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 xml:space="preserve">P. </w:t>
            </w:r>
            <w:proofErr w:type="spellStart"/>
            <w:r w:rsidRPr="005E3006">
              <w:rPr>
                <w:sz w:val="22"/>
                <w:szCs w:val="22"/>
              </w:rPr>
              <w:t>Hadot</w:t>
            </w:r>
            <w:proofErr w:type="spellEnd"/>
            <w:r w:rsidRPr="005E3006">
              <w:rPr>
                <w:sz w:val="22"/>
                <w:szCs w:val="22"/>
              </w:rPr>
              <w:t xml:space="preserve">: A lélek iskolája, Lelkigyakorlatok és az antik filozófia, </w:t>
            </w:r>
            <w:proofErr w:type="spellStart"/>
            <w:r w:rsidRPr="005E3006">
              <w:rPr>
                <w:sz w:val="22"/>
                <w:szCs w:val="22"/>
              </w:rPr>
              <w:t>Kairosz</w:t>
            </w:r>
            <w:proofErr w:type="spellEnd"/>
            <w:r w:rsidRPr="005E3006">
              <w:rPr>
                <w:sz w:val="22"/>
                <w:szCs w:val="22"/>
              </w:rPr>
              <w:t>, Budapest, 2010.</w:t>
            </w:r>
          </w:p>
          <w:p w:rsidR="00E02BC4" w:rsidRPr="005E3006" w:rsidRDefault="00E02BC4" w:rsidP="000E2072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 xml:space="preserve">P. </w:t>
            </w:r>
            <w:proofErr w:type="spellStart"/>
            <w:r w:rsidRPr="005E3006">
              <w:rPr>
                <w:sz w:val="22"/>
                <w:szCs w:val="22"/>
              </w:rPr>
              <w:t>Hadot</w:t>
            </w:r>
            <w:proofErr w:type="spellEnd"/>
            <w:r w:rsidRPr="005E3006">
              <w:rPr>
                <w:sz w:val="22"/>
                <w:szCs w:val="22"/>
              </w:rPr>
              <w:t xml:space="preserve">: La </w:t>
            </w:r>
            <w:proofErr w:type="spellStart"/>
            <w:r w:rsidRPr="005E3006">
              <w:rPr>
                <w:sz w:val="22"/>
                <w:szCs w:val="22"/>
              </w:rPr>
              <w:t>philosophie</w:t>
            </w:r>
            <w:proofErr w:type="spellEnd"/>
            <w:r w:rsidRPr="005E3006">
              <w:rPr>
                <w:sz w:val="22"/>
                <w:szCs w:val="22"/>
              </w:rPr>
              <w:t xml:space="preserve"> </w:t>
            </w:r>
            <w:proofErr w:type="spellStart"/>
            <w:r w:rsidRPr="005E3006">
              <w:rPr>
                <w:sz w:val="22"/>
                <w:szCs w:val="22"/>
              </w:rPr>
              <w:t>comme</w:t>
            </w:r>
            <w:proofErr w:type="spellEnd"/>
            <w:r w:rsidRPr="005E3006">
              <w:rPr>
                <w:sz w:val="22"/>
                <w:szCs w:val="22"/>
              </w:rPr>
              <w:t xml:space="preserve"> </w:t>
            </w:r>
            <w:proofErr w:type="spellStart"/>
            <w:r w:rsidRPr="005E3006">
              <w:rPr>
                <w:sz w:val="22"/>
                <w:szCs w:val="22"/>
              </w:rPr>
              <w:t>manière</w:t>
            </w:r>
            <w:proofErr w:type="spellEnd"/>
            <w:r w:rsidRPr="005E3006">
              <w:rPr>
                <w:sz w:val="22"/>
                <w:szCs w:val="22"/>
              </w:rPr>
              <w:t xml:space="preserve"> de </w:t>
            </w:r>
            <w:proofErr w:type="spellStart"/>
            <w:r w:rsidRPr="005E3006">
              <w:rPr>
                <w:sz w:val="22"/>
                <w:szCs w:val="22"/>
              </w:rPr>
              <w:t>vivre</w:t>
            </w:r>
            <w:proofErr w:type="spellEnd"/>
            <w:r w:rsidRPr="005E3006">
              <w:rPr>
                <w:sz w:val="22"/>
                <w:szCs w:val="22"/>
              </w:rPr>
              <w:t xml:space="preserve">, Albin, Paris, 2001. </w:t>
            </w:r>
          </w:p>
          <w:p w:rsidR="00E02BC4" w:rsidRPr="005E3006" w:rsidRDefault="00E02BC4" w:rsidP="000E2072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>M. Foucault: A szexualitás története III. Törődés önmagunkkal, Atlantisz, Budapest, 2001.</w:t>
            </w:r>
          </w:p>
          <w:p w:rsidR="00E02BC4" w:rsidRPr="005E3006" w:rsidRDefault="00E02BC4" w:rsidP="000E2072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 xml:space="preserve">M. Foucault: </w:t>
            </w:r>
            <w:proofErr w:type="spellStart"/>
            <w:r w:rsidRPr="005E3006">
              <w:rPr>
                <w:sz w:val="22"/>
                <w:szCs w:val="22"/>
              </w:rPr>
              <w:t>L’Herméneutique</w:t>
            </w:r>
            <w:proofErr w:type="spellEnd"/>
            <w:r w:rsidRPr="005E3006">
              <w:rPr>
                <w:sz w:val="22"/>
                <w:szCs w:val="22"/>
              </w:rPr>
              <w:t xml:space="preserve"> du </w:t>
            </w:r>
            <w:proofErr w:type="spellStart"/>
            <w:r w:rsidRPr="005E3006">
              <w:rPr>
                <w:sz w:val="22"/>
                <w:szCs w:val="22"/>
              </w:rPr>
              <w:t>sujet</w:t>
            </w:r>
            <w:proofErr w:type="spellEnd"/>
            <w:r w:rsidRPr="005E3006">
              <w:rPr>
                <w:sz w:val="22"/>
                <w:szCs w:val="22"/>
              </w:rPr>
              <w:t xml:space="preserve">, </w:t>
            </w:r>
            <w:proofErr w:type="spellStart"/>
            <w:r w:rsidRPr="005E3006">
              <w:rPr>
                <w:sz w:val="22"/>
                <w:szCs w:val="22"/>
              </w:rPr>
              <w:t>Ed</w:t>
            </w:r>
            <w:proofErr w:type="spellEnd"/>
            <w:r w:rsidRPr="005E3006">
              <w:rPr>
                <w:sz w:val="22"/>
                <w:szCs w:val="22"/>
              </w:rPr>
              <w:t xml:space="preserve">. Du </w:t>
            </w:r>
            <w:proofErr w:type="spellStart"/>
            <w:r w:rsidRPr="005E3006">
              <w:rPr>
                <w:sz w:val="22"/>
                <w:szCs w:val="22"/>
              </w:rPr>
              <w:t>Seuil</w:t>
            </w:r>
            <w:proofErr w:type="spellEnd"/>
            <w:r w:rsidRPr="005E3006">
              <w:rPr>
                <w:sz w:val="22"/>
                <w:szCs w:val="22"/>
              </w:rPr>
              <w:t>, Paris, 2001.</w:t>
            </w:r>
          </w:p>
          <w:p w:rsidR="00E02BC4" w:rsidRPr="000E2072" w:rsidRDefault="00E02BC4" w:rsidP="000E2072">
            <w:pPr>
              <w:ind w:left="34"/>
              <w:rPr>
                <w:sz w:val="22"/>
                <w:szCs w:val="22"/>
              </w:rPr>
            </w:pPr>
          </w:p>
        </w:tc>
      </w:tr>
      <w:tr w:rsidR="00E02BC4" w:rsidRPr="008C485B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02BC4" w:rsidRPr="000E2072" w:rsidRDefault="00E02BC4" w:rsidP="000E2072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E2072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0E2072">
              <w:rPr>
                <w:sz w:val="24"/>
                <w:szCs w:val="24"/>
              </w:rPr>
              <w:t>(</w:t>
            </w:r>
            <w:r w:rsidRPr="000E2072">
              <w:rPr>
                <w:i/>
                <w:iCs/>
                <w:sz w:val="24"/>
                <w:szCs w:val="24"/>
              </w:rPr>
              <w:t>név, beosztás, tud. fokozat</w:t>
            </w:r>
            <w:r w:rsidRPr="000E2072">
              <w:rPr>
                <w:sz w:val="24"/>
                <w:szCs w:val="24"/>
              </w:rPr>
              <w:t>)</w:t>
            </w:r>
            <w:r w:rsidRPr="000E2072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Dr. Kicsák Lóránt, PhD, főiskolai docens,</w:t>
            </w:r>
          </w:p>
        </w:tc>
      </w:tr>
      <w:tr w:rsidR="00E02BC4" w:rsidRPr="008C485B">
        <w:trPr>
          <w:trHeight w:val="337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02BC4" w:rsidRPr="000E2072" w:rsidRDefault="00E02BC4" w:rsidP="000E2072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E2072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0E2072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0E2072">
              <w:rPr>
                <w:b/>
                <w:bCs/>
                <w:sz w:val="24"/>
                <w:szCs w:val="24"/>
              </w:rPr>
              <w:t xml:space="preserve">k), </w:t>
            </w:r>
            <w:r w:rsidRPr="000E2072">
              <w:rPr>
                <w:sz w:val="24"/>
                <w:szCs w:val="24"/>
              </w:rPr>
              <w:t>ha vannak</w:t>
            </w:r>
            <w:r w:rsidRPr="000E2072">
              <w:rPr>
                <w:b/>
                <w:bCs/>
                <w:sz w:val="24"/>
                <w:szCs w:val="24"/>
              </w:rPr>
              <w:t xml:space="preserve"> </w:t>
            </w:r>
            <w:r w:rsidRPr="000E2072">
              <w:rPr>
                <w:sz w:val="24"/>
                <w:szCs w:val="24"/>
              </w:rPr>
              <w:t>(</w:t>
            </w:r>
            <w:r w:rsidRPr="000E2072">
              <w:rPr>
                <w:i/>
                <w:iCs/>
                <w:sz w:val="24"/>
                <w:szCs w:val="24"/>
              </w:rPr>
              <w:t>név, beosztás, tud. fokozat</w:t>
            </w:r>
            <w:r w:rsidRPr="000E2072">
              <w:rPr>
                <w:sz w:val="24"/>
                <w:szCs w:val="24"/>
              </w:rPr>
              <w:t>)</w:t>
            </w:r>
            <w:r w:rsidRPr="000E2072">
              <w:rPr>
                <w:b/>
                <w:bCs/>
                <w:sz w:val="24"/>
                <w:szCs w:val="24"/>
              </w:rPr>
              <w:t xml:space="preserve">: </w:t>
            </w:r>
            <w:r w:rsidRPr="000E2072">
              <w:rPr>
                <w:b/>
                <w:bCs/>
                <w:sz w:val="24"/>
                <w:szCs w:val="24"/>
                <w:highlight w:val="yellow"/>
              </w:rPr>
              <w:t>…….</w:t>
            </w:r>
          </w:p>
        </w:tc>
      </w:tr>
    </w:tbl>
    <w:p w:rsidR="00E02BC4" w:rsidRDefault="00E02BC4"/>
    <w:sectPr w:rsidR="00E02BC4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89" w:rsidRDefault="00774789" w:rsidP="00D92FD8">
      <w:r>
        <w:separator/>
      </w:r>
    </w:p>
  </w:endnote>
  <w:endnote w:type="continuationSeparator" w:id="0">
    <w:p w:rsidR="00774789" w:rsidRDefault="00774789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89" w:rsidRDefault="00774789" w:rsidP="00D92FD8">
      <w:r>
        <w:separator/>
      </w:r>
    </w:p>
  </w:footnote>
  <w:footnote w:type="continuationSeparator" w:id="0">
    <w:p w:rsidR="00774789" w:rsidRDefault="00774789" w:rsidP="00D92FD8">
      <w:r>
        <w:continuationSeparator/>
      </w:r>
    </w:p>
  </w:footnote>
  <w:footnote w:id="1">
    <w:p w:rsidR="00E02BC4" w:rsidRDefault="00E02BC4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02BC4" w:rsidRDefault="00E02BC4" w:rsidP="00D92FD8">
      <w:pPr>
        <w:pStyle w:val="Lbjegyzetszveg"/>
      </w:pPr>
      <w:r w:rsidRPr="00AB1000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FD8"/>
    <w:rsid w:val="00013697"/>
    <w:rsid w:val="000E2072"/>
    <w:rsid w:val="00103CA7"/>
    <w:rsid w:val="00113F0A"/>
    <w:rsid w:val="00181407"/>
    <w:rsid w:val="001C5F6A"/>
    <w:rsid w:val="001F4947"/>
    <w:rsid w:val="00285B5C"/>
    <w:rsid w:val="0029216B"/>
    <w:rsid w:val="002C0863"/>
    <w:rsid w:val="00380B7F"/>
    <w:rsid w:val="003A0067"/>
    <w:rsid w:val="003F2FF8"/>
    <w:rsid w:val="004019FD"/>
    <w:rsid w:val="00471896"/>
    <w:rsid w:val="0054096D"/>
    <w:rsid w:val="005E3006"/>
    <w:rsid w:val="00642D6C"/>
    <w:rsid w:val="0069042B"/>
    <w:rsid w:val="00774789"/>
    <w:rsid w:val="007D73E3"/>
    <w:rsid w:val="008C485B"/>
    <w:rsid w:val="008E7DA5"/>
    <w:rsid w:val="0097190C"/>
    <w:rsid w:val="009A7FBA"/>
    <w:rsid w:val="00A207E6"/>
    <w:rsid w:val="00A72480"/>
    <w:rsid w:val="00A93C79"/>
    <w:rsid w:val="00A961A2"/>
    <w:rsid w:val="00AB1000"/>
    <w:rsid w:val="00AC6A3F"/>
    <w:rsid w:val="00BF73C6"/>
    <w:rsid w:val="00C14153"/>
    <w:rsid w:val="00C42A7D"/>
    <w:rsid w:val="00C44943"/>
    <w:rsid w:val="00CA1DE6"/>
    <w:rsid w:val="00CA24B4"/>
    <w:rsid w:val="00D66D77"/>
    <w:rsid w:val="00D83417"/>
    <w:rsid w:val="00D92FD8"/>
    <w:rsid w:val="00E02BC4"/>
    <w:rsid w:val="00E33943"/>
    <w:rsid w:val="00E941B1"/>
    <w:rsid w:val="00EC6C22"/>
    <w:rsid w:val="00EE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92FD8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D92F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2348</Characters>
  <Application>Microsoft Office Word</Application>
  <DocSecurity>0</DocSecurity>
  <Lines>19</Lines>
  <Paragraphs>5</Paragraphs>
  <ScaleCrop>false</ScaleCrop>
  <Company>EKF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EKF</dc:creator>
  <cp:keywords/>
  <dc:description/>
  <cp:lastModifiedBy>EKF</cp:lastModifiedBy>
  <cp:revision>4</cp:revision>
  <dcterms:created xsi:type="dcterms:W3CDTF">2013-07-08T10:48:00Z</dcterms:created>
  <dcterms:modified xsi:type="dcterms:W3CDTF">2013-07-15T09:36:00Z</dcterms:modified>
</cp:coreProperties>
</file>