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86E04" w:rsidRPr="003D007E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E04" w:rsidRPr="003D007E" w:rsidRDefault="00B86E04" w:rsidP="00834310">
            <w:pPr>
              <w:rPr>
                <w:b/>
                <w:bCs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neve: TERVEZÉS </w:t>
            </w:r>
            <w:proofErr w:type="gramStart"/>
            <w:r w:rsidRPr="003D007E">
              <w:rPr>
                <w:b/>
                <w:sz w:val="24"/>
                <w:szCs w:val="24"/>
              </w:rPr>
              <w:t>A</w:t>
            </w:r>
            <w:proofErr w:type="gramEnd"/>
            <w:r w:rsidRPr="003D007E">
              <w:rPr>
                <w:b/>
                <w:sz w:val="24"/>
                <w:szCs w:val="24"/>
              </w:rPr>
              <w:t xml:space="preserve"> TESTNEVELÉSBEN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Kódja:</w:t>
            </w:r>
            <w:r w:rsidRPr="003D007E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6D03A6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3D007E">
              <w:rPr>
                <w:b/>
                <w:sz w:val="24"/>
                <w:szCs w:val="24"/>
              </w:rPr>
              <w:t>MT_TN706G2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6E04" w:rsidRPr="003D007E" w:rsidRDefault="00B86E04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Kreditszáma:2</w:t>
            </w:r>
          </w:p>
        </w:tc>
      </w:tr>
      <w:tr w:rsidR="00B86E04" w:rsidRPr="003D007E" w:rsidTr="00834310">
        <w:tc>
          <w:tcPr>
            <w:tcW w:w="9180" w:type="dxa"/>
            <w:gridSpan w:val="3"/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tanóra típusa</w:t>
            </w:r>
            <w:r w:rsidRPr="003D007E">
              <w:rPr>
                <w:rStyle w:val="Lbjegyzet-hivatkozs"/>
                <w:sz w:val="24"/>
                <w:szCs w:val="24"/>
              </w:rPr>
              <w:footnoteReference w:id="1"/>
            </w:r>
            <w:r w:rsidRPr="003D007E">
              <w:rPr>
                <w:i/>
                <w:sz w:val="24"/>
                <w:szCs w:val="24"/>
              </w:rPr>
              <w:t xml:space="preserve"> előadás, gyakorlat</w:t>
            </w:r>
            <w:r w:rsidRPr="003D007E">
              <w:rPr>
                <w:sz w:val="24"/>
                <w:szCs w:val="24"/>
              </w:rPr>
              <w:t xml:space="preserve"> és száma: </w:t>
            </w:r>
            <w:r w:rsidRPr="003D007E">
              <w:rPr>
                <w:b/>
                <w:sz w:val="24"/>
                <w:szCs w:val="24"/>
              </w:rPr>
              <w:t>2</w:t>
            </w:r>
          </w:p>
        </w:tc>
      </w:tr>
      <w:tr w:rsidR="00B86E04" w:rsidRPr="003D007E" w:rsidTr="00834310">
        <w:tc>
          <w:tcPr>
            <w:tcW w:w="9180" w:type="dxa"/>
            <w:gridSpan w:val="3"/>
          </w:tcPr>
          <w:p w:rsidR="00B86E04" w:rsidRPr="003D007E" w:rsidRDefault="00B86E04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számonkérés módja (</w:t>
            </w:r>
            <w:proofErr w:type="spellStart"/>
            <w:r w:rsidRPr="003D007E">
              <w:rPr>
                <w:sz w:val="24"/>
                <w:szCs w:val="24"/>
              </w:rPr>
              <w:t>koll</w:t>
            </w:r>
            <w:proofErr w:type="spellEnd"/>
            <w:r w:rsidRPr="003D007E">
              <w:rPr>
                <w:sz w:val="24"/>
                <w:szCs w:val="24"/>
              </w:rPr>
              <w:t>./</w:t>
            </w:r>
            <w:proofErr w:type="spellStart"/>
            <w:r w:rsidRPr="003D007E">
              <w:rPr>
                <w:sz w:val="24"/>
                <w:szCs w:val="24"/>
              </w:rPr>
              <w:t>gyj</w:t>
            </w:r>
            <w:proofErr w:type="spellEnd"/>
            <w:r w:rsidRPr="003D007E">
              <w:rPr>
                <w:sz w:val="24"/>
                <w:szCs w:val="24"/>
              </w:rPr>
              <w:t>./</w:t>
            </w:r>
            <w:proofErr w:type="gramStart"/>
            <w:r w:rsidRPr="003D007E">
              <w:rPr>
                <w:sz w:val="24"/>
                <w:szCs w:val="24"/>
              </w:rPr>
              <w:t>egyéb</w:t>
            </w:r>
            <w:r w:rsidRPr="003D007E">
              <w:rPr>
                <w:rStyle w:val="Lbjegyzet-hivatkozs"/>
                <w:sz w:val="24"/>
                <w:szCs w:val="24"/>
              </w:rPr>
              <w:footnoteReference w:id="2"/>
            </w:r>
            <w:r w:rsidRPr="003D007E">
              <w:rPr>
                <w:sz w:val="24"/>
                <w:szCs w:val="24"/>
              </w:rPr>
              <w:t>)</w:t>
            </w:r>
            <w:proofErr w:type="gramEnd"/>
            <w:r w:rsidRPr="003D007E">
              <w:rPr>
                <w:sz w:val="24"/>
                <w:szCs w:val="24"/>
              </w:rPr>
              <w:t>: gyakorlati jegy</w:t>
            </w: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Előtanulmányi feltételek </w:t>
            </w:r>
            <w:r w:rsidRPr="003D007E">
              <w:rPr>
                <w:i/>
                <w:sz w:val="24"/>
                <w:szCs w:val="24"/>
              </w:rPr>
              <w:t>(ha vannak)</w:t>
            </w:r>
            <w:r w:rsidRPr="003D007E">
              <w:rPr>
                <w:sz w:val="24"/>
                <w:szCs w:val="24"/>
              </w:rPr>
              <w:t>:</w:t>
            </w:r>
            <w:r w:rsidRPr="003D00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86E04" w:rsidRPr="003D007E" w:rsidRDefault="00B86E04" w:rsidP="00834310">
            <w:pPr>
              <w:ind w:right="242"/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Tantárgyleírás</w:t>
            </w:r>
            <w:r w:rsidRPr="003D007E">
              <w:rPr>
                <w:sz w:val="24"/>
                <w:szCs w:val="24"/>
              </w:rPr>
              <w:t xml:space="preserve">: az elsajátítandó </w:t>
            </w:r>
            <w:r w:rsidRPr="003D007E">
              <w:rPr>
                <w:sz w:val="24"/>
                <w:szCs w:val="24"/>
                <w:u w:val="single"/>
              </w:rPr>
              <w:t>ismeretanyag</w:t>
            </w:r>
            <w:r w:rsidRPr="003D007E">
              <w:rPr>
                <w:sz w:val="24"/>
                <w:szCs w:val="24"/>
              </w:rPr>
              <w:t xml:space="preserve"> és a kialakítandó </w:t>
            </w:r>
            <w:r w:rsidRPr="003D007E">
              <w:rPr>
                <w:sz w:val="24"/>
                <w:szCs w:val="24"/>
                <w:u w:val="single"/>
              </w:rPr>
              <w:t>kompetenciák</w:t>
            </w:r>
            <w:r w:rsidRPr="003D007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86E04" w:rsidRPr="003D007E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6E04" w:rsidRPr="003D007E" w:rsidRDefault="00B86E04" w:rsidP="00834310">
            <w:pPr>
              <w:autoSpaceDE w:val="0"/>
              <w:autoSpaceDN w:val="0"/>
              <w:ind w:left="900" w:right="-108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86E04" w:rsidRPr="003D007E" w:rsidRDefault="00B86E04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Az iskolai testnevelés és </w:t>
            </w:r>
            <w:proofErr w:type="gramStart"/>
            <w:r w:rsidRPr="003D007E">
              <w:rPr>
                <w:sz w:val="24"/>
                <w:szCs w:val="24"/>
              </w:rPr>
              <w:t>sport szabályozó</w:t>
            </w:r>
            <w:proofErr w:type="gramEnd"/>
            <w:r w:rsidRPr="003D007E">
              <w:rPr>
                <w:sz w:val="24"/>
                <w:szCs w:val="24"/>
              </w:rPr>
              <w:t xml:space="preserve"> dokumentumainak megismerése. Az egyes iskolafokokra vonatkozó tantervi célok, feladatok és tartalmak egymásra épülési logikájának áttekintése az érettségi követelményekig. Ismeret és gyakorlat szerzése az egyes tantervek használatában, illetve a helyi testnevelési tanterv készítésében.</w:t>
            </w:r>
          </w:p>
          <w:p w:rsidR="00B86E04" w:rsidRPr="003D007E" w:rsidRDefault="00B86E04" w:rsidP="00834310">
            <w:pPr>
              <w:autoSpaceDE w:val="0"/>
              <w:autoSpaceDN w:val="0"/>
              <w:ind w:left="374" w:right="-108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tudás</w:t>
            </w:r>
            <w:r w:rsidRPr="003D007E">
              <w:rPr>
                <w:sz w:val="24"/>
                <w:szCs w:val="24"/>
              </w:rPr>
              <w:t>:</w:t>
            </w:r>
          </w:p>
          <w:p w:rsidR="00B86E04" w:rsidRPr="003D007E" w:rsidRDefault="00B86E04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Ismeri a Nemzeti alaptanterv szabályozó szerepét, tartalmát és belső összefüggésrendszerét, a testnevelés cél- és feladatrendszerét.</w:t>
            </w:r>
          </w:p>
          <w:p w:rsidR="00B86E04" w:rsidRPr="003D007E" w:rsidRDefault="00B86E04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Ismeri a Nemzeti alaptanterv, a kerettantervek, szakképzési központi programok felépítését és tartalmát és a helyi tantervek elkészítésének menetét.</w:t>
            </w:r>
          </w:p>
          <w:p w:rsidR="00B86E04" w:rsidRPr="003D007E" w:rsidRDefault="00B86E04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Átlátja a helyi pedagógiai program és az iskolában zajló tantervi, tanterven kívüli és rejtett tanulási folyamatokat.</w:t>
            </w:r>
          </w:p>
          <w:p w:rsidR="00B86E04" w:rsidRPr="003D007E" w:rsidRDefault="00B86E04" w:rsidP="00B86E0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Ismeri az iskolában és iskolán kívül elsajátított tudás közötti ellentmondásokból származó problémákat, a tanulás különböző színterei közötti kapcsolatok kialakítási lehetőségeit.</w:t>
            </w:r>
          </w:p>
          <w:p w:rsidR="00B86E04" w:rsidRPr="003D007E" w:rsidRDefault="00B86E04" w:rsidP="00B86E0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outlineLvl w:val="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Ismeri a testnevelés és sport értékkörének helyét az iskolai életben általában, és a testnevelés tantárgyban. Ismeri más műveltségterületekhez való kapcsolatát, az általános műveltséghez való hozzájárulását.</w:t>
            </w:r>
          </w:p>
          <w:p w:rsidR="00B86E04" w:rsidRPr="003D007E" w:rsidRDefault="00B86E04" w:rsidP="00834310">
            <w:pPr>
              <w:rPr>
                <w:i/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képességek: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bCs/>
                <w:sz w:val="24"/>
                <w:szCs w:val="24"/>
              </w:rPr>
              <w:t>A szakterületének dokumentumaiból felkészült, és képes az oktatás-nevelést irányító programok (</w:t>
            </w:r>
            <w:r w:rsidRPr="003D007E">
              <w:rPr>
                <w:sz w:val="24"/>
                <w:szCs w:val="24"/>
              </w:rPr>
              <w:t xml:space="preserve">helyi tanterv és tanmenet) </w:t>
            </w:r>
            <w:r w:rsidRPr="003D007E">
              <w:rPr>
                <w:bCs/>
                <w:sz w:val="24"/>
                <w:szCs w:val="24"/>
              </w:rPr>
              <w:t>tervezésére, vagy a tervezésben való alkotó részvételre.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Képes a tantervi adatbank használatára, a digitális tananyagok kezelésére, kiválasztására.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Tudja a Nemzeti alaptanterv kiemelt fejlesztési területeit adaptálni az iskolai életbe, illetve a testnevelés tantárgyba.</w:t>
            </w:r>
          </w:p>
          <w:p w:rsidR="00B86E04" w:rsidRPr="003D007E" w:rsidRDefault="00B86E04" w:rsidP="00834310">
            <w:pPr>
              <w:rPr>
                <w:i/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szerepvállalás és elkötelezettség: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alkalmazza az információs-kommunikációs eszközöket.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Együttműködik pedagógus kollégáival, az iskola más munkatársaival, a szülőkkel és a tanulók életében szerepet játszó más szakemberekkel, intézményekkel és szervezetekkel a tantervi és éves tervezőmunka során.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 Részt vállal az iskola szervezetfejlesztési, innovációs és minőségfejlesztési munkájában.</w:t>
            </w:r>
          </w:p>
          <w:p w:rsidR="00B86E04" w:rsidRPr="003D007E" w:rsidRDefault="00B86E04" w:rsidP="00B86E04">
            <w:pPr>
              <w:numPr>
                <w:ilvl w:val="0"/>
                <w:numId w:val="3"/>
              </w:numPr>
              <w:tabs>
                <w:tab w:val="clear" w:pos="734"/>
                <w:tab w:val="num" w:pos="360"/>
              </w:tabs>
              <w:ind w:left="360" w:firstLine="14"/>
              <w:outlineLvl w:val="0"/>
              <w:rPr>
                <w:bCs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lastRenderedPageBreak/>
              <w:t>Tudásával és meggyőződésével támogatja a testnevelés értékelését, értékén kezelését az iskolai életben.</w:t>
            </w:r>
          </w:p>
          <w:p w:rsidR="00B86E04" w:rsidRPr="003D007E" w:rsidRDefault="00B86E04" w:rsidP="00834310">
            <w:pPr>
              <w:ind w:left="374"/>
              <w:rPr>
                <w:sz w:val="24"/>
                <w:szCs w:val="24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86E04" w:rsidRPr="003D007E" w:rsidRDefault="00B86E04" w:rsidP="00834310">
            <w:pPr>
              <w:tabs>
                <w:tab w:val="left" w:pos="1986"/>
              </w:tabs>
              <w:ind w:left="37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különböző tantervek funkciója a szabályozásban, felépítése, tartalma (Nemzeti alaptanterv, kerettantervek, helyi testnevelési tanterv). </w:t>
            </w:r>
          </w:p>
          <w:p w:rsidR="00B86E04" w:rsidRPr="003D007E" w:rsidRDefault="00B86E04" w:rsidP="00834310">
            <w:pPr>
              <w:tabs>
                <w:tab w:val="left" w:pos="1986"/>
              </w:tabs>
              <w:ind w:left="37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Az alternatív tantervek. </w:t>
            </w:r>
          </w:p>
          <w:p w:rsidR="00B86E04" w:rsidRPr="003D007E" w:rsidRDefault="00B86E04" w:rsidP="00834310">
            <w:pPr>
              <w:tabs>
                <w:tab w:val="left" w:pos="1986"/>
              </w:tabs>
              <w:ind w:left="37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helyi testnevelési tanterv, mint a Pedagógiai program része. </w:t>
            </w:r>
          </w:p>
          <w:p w:rsidR="00B86E04" w:rsidRPr="003D007E" w:rsidRDefault="00B86E04" w:rsidP="00834310">
            <w:pPr>
              <w:tabs>
                <w:tab w:val="left" w:pos="1986"/>
              </w:tabs>
              <w:ind w:left="37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helyi tanterv és tanmenetkészítés (testnevelés) elmélete és gyakorlata.</w:t>
            </w:r>
          </w:p>
          <w:p w:rsidR="00B86E04" w:rsidRPr="003D007E" w:rsidRDefault="00B86E04" w:rsidP="00834310">
            <w:p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B86E04" w:rsidRPr="003D007E" w:rsidRDefault="00B86E04" w:rsidP="00834310">
            <w:pPr>
              <w:ind w:left="561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Házi dolgozat készítése (5-8 oldal) megadott szempontok szerint.</w:t>
            </w:r>
          </w:p>
          <w:p w:rsidR="00B86E04" w:rsidRPr="003D007E" w:rsidRDefault="00B86E04" w:rsidP="00834310">
            <w:pPr>
              <w:ind w:left="561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Referátum készítése és prezentációja, megadott szempontok szerint.</w:t>
            </w:r>
          </w:p>
          <w:p w:rsidR="00B86E04" w:rsidRPr="003D007E" w:rsidRDefault="00B86E04" w:rsidP="00834310">
            <w:pPr>
              <w:autoSpaceDE w:val="0"/>
              <w:autoSpaceDN w:val="0"/>
              <w:ind w:right="94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Munkaformák:</w:t>
            </w:r>
            <w:r w:rsidRPr="003D007E">
              <w:rPr>
                <w:sz w:val="24"/>
                <w:szCs w:val="24"/>
              </w:rPr>
              <w:t xml:space="preserve"> előadás, csoportmunka, szemináriumi megbeszélés, egyéni gyűjtés</w:t>
            </w:r>
            <w:proofErr w:type="gramStart"/>
            <w:r w:rsidRPr="003D007E">
              <w:rPr>
                <w:sz w:val="24"/>
                <w:szCs w:val="24"/>
              </w:rPr>
              <w:t>,  dokumentum</w:t>
            </w:r>
            <w:proofErr w:type="gramEnd"/>
            <w:r w:rsidRPr="003D007E">
              <w:rPr>
                <w:sz w:val="24"/>
                <w:szCs w:val="24"/>
              </w:rPr>
              <w:t xml:space="preserve">  és tartalomelemzés.</w:t>
            </w:r>
          </w:p>
          <w:p w:rsidR="00B86E04" w:rsidRPr="003D007E" w:rsidRDefault="00B86E04" w:rsidP="00834310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lastRenderedPageBreak/>
              <w:t xml:space="preserve">A </w:t>
            </w:r>
            <w:r w:rsidRPr="003D007E">
              <w:rPr>
                <w:b/>
                <w:sz w:val="24"/>
                <w:szCs w:val="24"/>
              </w:rPr>
              <w:t>3-5</w:t>
            </w:r>
            <w:r w:rsidRPr="003D007E">
              <w:rPr>
                <w:sz w:val="24"/>
                <w:szCs w:val="24"/>
              </w:rPr>
              <w:t xml:space="preserve"> legfontosabb </w:t>
            </w:r>
            <w:r w:rsidRPr="003D007E">
              <w:rPr>
                <w:i/>
                <w:sz w:val="24"/>
                <w:szCs w:val="24"/>
              </w:rPr>
              <w:t>kötelező,</w:t>
            </w:r>
            <w:r w:rsidRPr="003D007E">
              <w:rPr>
                <w:sz w:val="24"/>
                <w:szCs w:val="24"/>
              </w:rPr>
              <w:t xml:space="preserve"> illetve </w:t>
            </w:r>
            <w:r w:rsidRPr="003D007E">
              <w:rPr>
                <w:i/>
                <w:sz w:val="24"/>
                <w:szCs w:val="24"/>
              </w:rPr>
              <w:t xml:space="preserve">ajánlott </w:t>
            </w:r>
            <w:r w:rsidRPr="003D007E">
              <w:rPr>
                <w:b/>
                <w:sz w:val="24"/>
                <w:szCs w:val="24"/>
              </w:rPr>
              <w:t>irodalom</w:t>
            </w:r>
            <w:r w:rsidRPr="003D007E">
              <w:rPr>
                <w:sz w:val="24"/>
                <w:szCs w:val="24"/>
              </w:rPr>
              <w:t xml:space="preserve"> (jegyzet, tankönyv) felsorolása biblio</w:t>
            </w:r>
            <w:r w:rsidRPr="003D007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86E04" w:rsidRPr="003D007E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86E04" w:rsidRPr="003D007E" w:rsidRDefault="00B86E04" w:rsidP="00834310">
            <w:pPr>
              <w:autoSpaceDE w:val="0"/>
              <w:autoSpaceDN w:val="0"/>
              <w:ind w:firstLine="601"/>
              <w:rPr>
                <w:i/>
                <w:sz w:val="24"/>
                <w:szCs w:val="24"/>
                <w:u w:val="single"/>
              </w:rPr>
            </w:pP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autoSpaceDE w:val="0"/>
              <w:autoSpaceDN w:val="0"/>
              <w:ind w:left="0" w:firstLine="601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B86E04" w:rsidRPr="003D007E" w:rsidRDefault="00B86E04" w:rsidP="00834310">
            <w:pPr>
              <w:ind w:firstLine="3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Rétsági Erzsébet (szerk.)(2001) Kézikönyv a testnevelés tanításához az 5-8. osztályok részére; a helyi tervezéstől a tantervi tartalmak feldolgozásáig. Dialóg Campus Kiadó, Budapest-Pécs.</w:t>
            </w:r>
          </w:p>
          <w:p w:rsidR="00B86E04" w:rsidRPr="003D007E" w:rsidRDefault="00B86E04" w:rsidP="00834310">
            <w:pPr>
              <w:ind w:firstLine="3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Nemzeti alaptanterv 2003 (2004) Oktatási Minisztérium, Budapest.</w:t>
            </w:r>
          </w:p>
          <w:p w:rsidR="00B86E04" w:rsidRPr="003D007E" w:rsidRDefault="00B86E04" w:rsidP="00834310">
            <w:pPr>
              <w:ind w:firstLine="3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Az alapfokú nevelés-oktatás kerettantervei (2000) Oktatási Minisztérium, Budapest.</w:t>
            </w:r>
          </w:p>
          <w:p w:rsidR="00B86E04" w:rsidRPr="003D007E" w:rsidRDefault="00B86E04" w:rsidP="00834310">
            <w:pPr>
              <w:ind w:firstLine="3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középfokú nevelés-oktatás kerettantervei (2000) Oktatási Minisztérium, Budapest.</w:t>
            </w:r>
          </w:p>
          <w:p w:rsidR="00B86E04" w:rsidRPr="003D007E" w:rsidRDefault="00B86E04" w:rsidP="00834310">
            <w:pPr>
              <w:ind w:firstLine="34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sz w:val="24"/>
                <w:szCs w:val="24"/>
              </w:rPr>
              <w:t>Kerettantervi kézikönyv (2001) Nemzeti Tankönyvkiadó, Budapest.</w:t>
            </w:r>
          </w:p>
          <w:p w:rsidR="00B86E04" w:rsidRPr="003D007E" w:rsidRDefault="00B86E04" w:rsidP="00B86E04">
            <w:pPr>
              <w:numPr>
                <w:ilvl w:val="0"/>
                <w:numId w:val="1"/>
              </w:numPr>
              <w:tabs>
                <w:tab w:val="clear" w:pos="900"/>
                <w:tab w:val="num" w:pos="601"/>
              </w:tabs>
              <w:autoSpaceDE w:val="0"/>
              <w:autoSpaceDN w:val="0"/>
              <w:ind w:right="-108" w:hanging="299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Horváth Tihamér (2001) Helyi kerettanterv- és tanmenetjavaslat; testnevelés: 1-8. osztály számára, Apáczai Kiadó, Celldömölk.</w:t>
            </w:r>
          </w:p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Bárdossy Ildikó (2002): A </w:t>
            </w:r>
            <w:proofErr w:type="spellStart"/>
            <w:r w:rsidRPr="003D007E">
              <w:rPr>
                <w:sz w:val="24"/>
                <w:szCs w:val="24"/>
              </w:rPr>
              <w:t>curriculumfejlesztés</w:t>
            </w:r>
            <w:proofErr w:type="spellEnd"/>
            <w:r w:rsidRPr="003D007E">
              <w:rPr>
                <w:sz w:val="24"/>
                <w:szCs w:val="24"/>
              </w:rPr>
              <w:t xml:space="preserve"> alapkérdései. Távoktatási tananyag pedagógusok, pedagógusjelöltek számára a </w:t>
            </w:r>
            <w:proofErr w:type="spellStart"/>
            <w:r w:rsidRPr="003D007E">
              <w:rPr>
                <w:sz w:val="24"/>
                <w:szCs w:val="24"/>
              </w:rPr>
              <w:t>curriculumfejlesztés</w:t>
            </w:r>
            <w:proofErr w:type="spellEnd"/>
            <w:r w:rsidRPr="003D007E">
              <w:rPr>
                <w:sz w:val="24"/>
                <w:szCs w:val="24"/>
              </w:rPr>
              <w:t xml:space="preserve"> alapkérdéseinek tanulmányozásához és megoldási lehetőségeinek kipróbálásához. PTE Tanárképző Intézet Pedagógia Tanszék, Pécs – UNESCO Tanárképző Portál, ELTE Budapest</w:t>
            </w:r>
          </w:p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Hamar Pál (2003): Testnevelés EU-kitekintéssel. Módszertani lapok. Testnevelés</w:t>
            </w:r>
            <w:r w:rsidRPr="003D007E">
              <w:rPr>
                <w:i/>
                <w:sz w:val="24"/>
                <w:szCs w:val="24"/>
              </w:rPr>
              <w:t>, 2</w:t>
            </w:r>
            <w:proofErr w:type="gramStart"/>
            <w:r w:rsidRPr="003D007E">
              <w:rPr>
                <w:i/>
                <w:sz w:val="24"/>
                <w:szCs w:val="24"/>
              </w:rPr>
              <w:t>.,</w:t>
            </w:r>
            <w:proofErr w:type="gramEnd"/>
            <w:r w:rsidRPr="003D007E">
              <w:rPr>
                <w:i/>
                <w:sz w:val="24"/>
                <w:szCs w:val="24"/>
              </w:rPr>
              <w:t xml:space="preserve"> </w:t>
            </w:r>
            <w:r w:rsidRPr="003D007E">
              <w:rPr>
                <w:sz w:val="24"/>
                <w:szCs w:val="24"/>
              </w:rPr>
              <w:t>1-4. p.</w:t>
            </w:r>
          </w:p>
          <w:p w:rsidR="00B86E04" w:rsidRPr="003D007E" w:rsidRDefault="00B86E04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B86E04" w:rsidRPr="003D007E" w:rsidTr="00834310">
        <w:trPr>
          <w:trHeight w:val="338"/>
        </w:trPr>
        <w:tc>
          <w:tcPr>
            <w:tcW w:w="9180" w:type="dxa"/>
            <w:gridSpan w:val="3"/>
          </w:tcPr>
          <w:p w:rsidR="00B86E04" w:rsidRPr="003D007E" w:rsidRDefault="00B86E04" w:rsidP="00834310">
            <w:pPr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felelőse </w:t>
            </w:r>
            <w:r w:rsidRPr="003D007E">
              <w:rPr>
                <w:sz w:val="24"/>
                <w:szCs w:val="24"/>
              </w:rPr>
              <w:t>(</w:t>
            </w:r>
            <w:r w:rsidRPr="003D007E">
              <w:rPr>
                <w:i/>
                <w:sz w:val="24"/>
                <w:szCs w:val="24"/>
              </w:rPr>
              <w:t>név, beosztás, tud. fokozat</w:t>
            </w:r>
            <w:r w:rsidRPr="003D007E">
              <w:rPr>
                <w:sz w:val="24"/>
                <w:szCs w:val="24"/>
              </w:rPr>
              <w:t>)</w:t>
            </w:r>
            <w:r w:rsidRPr="003D007E">
              <w:rPr>
                <w:b/>
                <w:sz w:val="24"/>
                <w:szCs w:val="24"/>
              </w:rPr>
              <w:t>:</w:t>
            </w:r>
            <w:r w:rsidRPr="003D007E">
              <w:rPr>
                <w:bCs/>
                <w:sz w:val="24"/>
                <w:szCs w:val="24"/>
              </w:rPr>
              <w:t xml:space="preserve"> </w:t>
            </w:r>
            <w:r w:rsidRPr="003D007E">
              <w:rPr>
                <w:b/>
                <w:sz w:val="24"/>
                <w:szCs w:val="24"/>
              </w:rPr>
              <w:t>Kristonné dr. Bakos Magdolna CSc – főiskolai tanár</w:t>
            </w:r>
          </w:p>
        </w:tc>
      </w:tr>
      <w:tr w:rsidR="00B86E04" w:rsidRPr="003D007E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6E04" w:rsidRPr="003D007E" w:rsidRDefault="00B86E04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D007E">
              <w:rPr>
                <w:b/>
                <w:sz w:val="24"/>
                <w:szCs w:val="24"/>
              </w:rPr>
              <w:t>oktató(</w:t>
            </w:r>
            <w:proofErr w:type="gramEnd"/>
            <w:r w:rsidRPr="003D007E">
              <w:rPr>
                <w:b/>
                <w:sz w:val="24"/>
                <w:szCs w:val="24"/>
              </w:rPr>
              <w:t xml:space="preserve">k), </w:t>
            </w:r>
            <w:r w:rsidRPr="003D007E">
              <w:rPr>
                <w:sz w:val="24"/>
                <w:szCs w:val="24"/>
              </w:rPr>
              <w:t>ha vannak</w:t>
            </w:r>
            <w:r w:rsidRPr="003D007E">
              <w:rPr>
                <w:b/>
                <w:sz w:val="24"/>
                <w:szCs w:val="24"/>
              </w:rPr>
              <w:t xml:space="preserve"> </w:t>
            </w:r>
            <w:r w:rsidRPr="003D007E">
              <w:rPr>
                <w:sz w:val="24"/>
                <w:szCs w:val="24"/>
              </w:rPr>
              <w:t>(</w:t>
            </w:r>
            <w:r w:rsidRPr="003D007E">
              <w:rPr>
                <w:i/>
                <w:sz w:val="24"/>
                <w:szCs w:val="24"/>
              </w:rPr>
              <w:t>név, beosztás, tud. fokozat</w:t>
            </w:r>
            <w:r w:rsidRPr="003D007E">
              <w:rPr>
                <w:sz w:val="24"/>
                <w:szCs w:val="24"/>
              </w:rPr>
              <w:t>)</w:t>
            </w:r>
            <w:r w:rsidRPr="003D007E">
              <w:rPr>
                <w:b/>
                <w:sz w:val="24"/>
                <w:szCs w:val="24"/>
              </w:rPr>
              <w:t>:</w:t>
            </w:r>
          </w:p>
          <w:p w:rsidR="00B86E04" w:rsidRDefault="00B86E04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3D007E">
              <w:rPr>
                <w:rFonts w:ascii="Times New Roman" w:hAnsi="Times New Roman" w:cs="Times New Roman"/>
                <w:b w:val="0"/>
              </w:rPr>
              <w:t>Dr. habil. Gombocz János CSc – egyetemi tanár</w:t>
            </w:r>
          </w:p>
          <w:p w:rsidR="00343717" w:rsidRPr="003D007E" w:rsidRDefault="00343717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Dr. Szatmári Zoltán PhD – egyetemi docens</w:t>
            </w:r>
          </w:p>
        </w:tc>
      </w:tr>
    </w:tbl>
    <w:p w:rsidR="00B86E04" w:rsidRDefault="00B86E04" w:rsidP="00B86E04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73" w:rsidRDefault="00CA6E73" w:rsidP="00B86E04">
      <w:r>
        <w:separator/>
      </w:r>
    </w:p>
  </w:endnote>
  <w:endnote w:type="continuationSeparator" w:id="0">
    <w:p w:rsidR="00CA6E73" w:rsidRDefault="00CA6E73" w:rsidP="00B8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73" w:rsidRDefault="00CA6E73" w:rsidP="00B86E04">
      <w:r>
        <w:separator/>
      </w:r>
    </w:p>
  </w:footnote>
  <w:footnote w:type="continuationSeparator" w:id="0">
    <w:p w:rsidR="00CA6E73" w:rsidRDefault="00CA6E73" w:rsidP="00B86E04">
      <w:r>
        <w:continuationSeparator/>
      </w:r>
    </w:p>
  </w:footnote>
  <w:footnote w:id="1">
    <w:p w:rsidR="00B86E04" w:rsidRDefault="00B86E04" w:rsidP="00B86E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86E04" w:rsidRDefault="00B86E04" w:rsidP="00B86E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E30"/>
    <w:multiLevelType w:val="hybridMultilevel"/>
    <w:tmpl w:val="BB8C63C2"/>
    <w:lvl w:ilvl="0" w:tplc="415A695E">
      <w:start w:val="1"/>
      <w:numFmt w:val="bullet"/>
      <w:lvlText w:val="–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E04"/>
    <w:rsid w:val="0001296C"/>
    <w:rsid w:val="002508A8"/>
    <w:rsid w:val="00343717"/>
    <w:rsid w:val="006D03A6"/>
    <w:rsid w:val="00945808"/>
    <w:rsid w:val="00986A12"/>
    <w:rsid w:val="00B86E04"/>
    <w:rsid w:val="00CA6E73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86E0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86E0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86E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86E04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4187</Characters>
  <Application>Microsoft Office Word</Application>
  <DocSecurity>0</DocSecurity>
  <Lines>34</Lines>
  <Paragraphs>9</Paragraphs>
  <ScaleCrop>false</ScaleCrop>
  <Company>EKF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2012-07-02T07:46:00Z</dcterms:created>
  <dcterms:modified xsi:type="dcterms:W3CDTF">2012-07-03T08:43:00Z</dcterms:modified>
</cp:coreProperties>
</file>