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F74E76" w:rsidRPr="00F74E76" w:rsidTr="00286863">
        <w:tc>
          <w:tcPr>
            <w:tcW w:w="3095" w:type="dxa"/>
            <w:tcMar>
              <w:top w:w="57" w:type="dxa"/>
              <w:bottom w:w="57" w:type="dxa"/>
            </w:tcMar>
          </w:tcPr>
          <w:p w:rsidR="00F74E76" w:rsidRPr="00F74E76" w:rsidRDefault="00F74E76" w:rsidP="00286863">
            <w:pPr>
              <w:jc w:val="both"/>
              <w:rPr>
                <w:b/>
                <w:bCs/>
                <w:sz w:val="24"/>
                <w:szCs w:val="24"/>
              </w:rPr>
            </w:pPr>
            <w:r w:rsidRPr="00F74E76">
              <w:rPr>
                <w:b/>
                <w:bCs/>
                <w:sz w:val="24"/>
                <w:szCs w:val="24"/>
              </w:rPr>
              <w:t>Tantárgy neve:</w:t>
            </w:r>
          </w:p>
          <w:p w:rsidR="00F74E76" w:rsidRPr="00F74E76" w:rsidRDefault="00F74E76" w:rsidP="00286863">
            <w:pPr>
              <w:jc w:val="both"/>
              <w:rPr>
                <w:b/>
                <w:bCs/>
                <w:sz w:val="24"/>
                <w:szCs w:val="24"/>
              </w:rPr>
            </w:pPr>
            <w:r w:rsidRPr="00F74E76">
              <w:rPr>
                <w:b/>
                <w:bCs/>
                <w:sz w:val="24"/>
                <w:szCs w:val="24"/>
              </w:rPr>
              <w:t>A légkör, mint erőforrás és kockázat</w:t>
            </w:r>
          </w:p>
        </w:tc>
        <w:tc>
          <w:tcPr>
            <w:tcW w:w="3095" w:type="dxa"/>
          </w:tcPr>
          <w:p w:rsidR="00F74E76" w:rsidRPr="00F74E76" w:rsidRDefault="00F74E76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74E76">
              <w:rPr>
                <w:b/>
                <w:bCs/>
                <w:sz w:val="24"/>
                <w:szCs w:val="24"/>
              </w:rPr>
              <w:t>Kód:</w:t>
            </w:r>
          </w:p>
          <w:p w:rsidR="00F74E76" w:rsidRPr="00F74E76" w:rsidRDefault="00175051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F74E76">
              <w:rPr>
                <w:b/>
                <w:bCs/>
                <w:sz w:val="24"/>
                <w:szCs w:val="24"/>
              </w:rPr>
              <w:t>MT_GG</w:t>
            </w:r>
            <w:r w:rsidR="00F74E76" w:rsidRPr="00F74E76">
              <w:rPr>
                <w:b/>
                <w:bCs/>
                <w:sz w:val="24"/>
                <w:szCs w:val="24"/>
              </w:rPr>
              <w:t>239G2</w:t>
            </w:r>
          </w:p>
        </w:tc>
        <w:tc>
          <w:tcPr>
            <w:tcW w:w="3096" w:type="dxa"/>
          </w:tcPr>
          <w:p w:rsidR="00F74E76" w:rsidRPr="00F74E76" w:rsidRDefault="00F74E76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74E76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F74E76" w:rsidRPr="00F74E76" w:rsidTr="00286863"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F74E76" w:rsidRPr="00F74E76" w:rsidRDefault="00F74E76" w:rsidP="00286863">
            <w:pPr>
              <w:spacing w:before="60"/>
              <w:jc w:val="both"/>
              <w:rPr>
                <w:sz w:val="24"/>
                <w:szCs w:val="24"/>
              </w:rPr>
            </w:pPr>
            <w:r w:rsidRPr="00F74E76">
              <w:rPr>
                <w:sz w:val="24"/>
                <w:szCs w:val="24"/>
              </w:rPr>
              <w:t>A tanóra típusa</w:t>
            </w:r>
            <w:r w:rsidRPr="00F74E76">
              <w:rPr>
                <w:rStyle w:val="Lbjegyzet-hivatkozs"/>
                <w:sz w:val="24"/>
                <w:szCs w:val="24"/>
              </w:rPr>
              <w:footnoteReference w:id="1"/>
            </w:r>
            <w:r w:rsidRPr="00F74E76">
              <w:rPr>
                <w:sz w:val="24"/>
                <w:szCs w:val="24"/>
              </w:rPr>
              <w:t xml:space="preserve">: </w:t>
            </w:r>
            <w:r w:rsidRPr="00F74E76">
              <w:rPr>
                <w:b/>
                <w:sz w:val="24"/>
                <w:szCs w:val="24"/>
              </w:rPr>
              <w:t>gyakorlat</w:t>
            </w:r>
            <w:r w:rsidRPr="00F74E76">
              <w:rPr>
                <w:sz w:val="24"/>
                <w:szCs w:val="24"/>
              </w:rPr>
              <w:t xml:space="preserve"> száma: </w:t>
            </w:r>
            <w:r w:rsidR="00175051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F74E76" w:rsidRPr="00F74E76" w:rsidTr="00286863"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F74E76" w:rsidRPr="00F74E76" w:rsidRDefault="00F74E76" w:rsidP="00F74E7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74E76">
              <w:rPr>
                <w:sz w:val="24"/>
                <w:szCs w:val="24"/>
              </w:rPr>
              <w:t>A számonkérés módja (koll. / gyj. / egyéb</w:t>
            </w:r>
            <w:r w:rsidRPr="00F74E76">
              <w:rPr>
                <w:rStyle w:val="Lbjegyzet-hivatkozs"/>
                <w:sz w:val="24"/>
                <w:szCs w:val="24"/>
              </w:rPr>
              <w:footnoteReference w:id="2"/>
            </w:r>
            <w:r w:rsidRPr="00F74E76">
              <w:rPr>
                <w:sz w:val="24"/>
                <w:szCs w:val="24"/>
              </w:rPr>
              <w:t xml:space="preserve">): </w:t>
            </w:r>
            <w:r w:rsidRPr="00F74E76">
              <w:rPr>
                <w:b/>
                <w:bCs/>
                <w:sz w:val="24"/>
                <w:szCs w:val="24"/>
              </w:rPr>
              <w:t>gy</w:t>
            </w:r>
            <w:r>
              <w:rPr>
                <w:b/>
                <w:bCs/>
                <w:sz w:val="24"/>
                <w:szCs w:val="24"/>
              </w:rPr>
              <w:t>akorlati jegy</w:t>
            </w:r>
          </w:p>
        </w:tc>
      </w:tr>
      <w:tr w:rsidR="00F74E76" w:rsidRPr="00F74E76" w:rsidTr="00286863"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F74E76" w:rsidRPr="00F74E76" w:rsidRDefault="00F74E76" w:rsidP="00286863">
            <w:pPr>
              <w:jc w:val="both"/>
              <w:rPr>
                <w:sz w:val="24"/>
                <w:szCs w:val="24"/>
              </w:rPr>
            </w:pPr>
            <w:r w:rsidRPr="00F74E76">
              <w:rPr>
                <w:sz w:val="24"/>
                <w:szCs w:val="24"/>
              </w:rPr>
              <w:t xml:space="preserve">A tantárgy tantervi helye (hányadik félév): </w:t>
            </w:r>
            <w:r w:rsidRPr="00F74E76">
              <w:rPr>
                <w:b/>
                <w:bCs/>
                <w:sz w:val="24"/>
                <w:szCs w:val="24"/>
              </w:rPr>
              <w:t xml:space="preserve"> 4. félév</w:t>
            </w:r>
          </w:p>
        </w:tc>
      </w:tr>
      <w:tr w:rsidR="00F74E76" w:rsidRPr="00F74E76" w:rsidTr="00286863"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F74E76" w:rsidRPr="00F74E76" w:rsidRDefault="00F74E76" w:rsidP="00286863">
            <w:pPr>
              <w:jc w:val="both"/>
              <w:rPr>
                <w:sz w:val="24"/>
                <w:szCs w:val="24"/>
              </w:rPr>
            </w:pPr>
            <w:r w:rsidRPr="00F74E76">
              <w:rPr>
                <w:sz w:val="24"/>
                <w:szCs w:val="24"/>
              </w:rPr>
              <w:t xml:space="preserve">Előtanulmányi feltételek </w:t>
            </w:r>
            <w:r w:rsidRPr="00F74E76">
              <w:rPr>
                <w:i/>
                <w:iCs/>
                <w:sz w:val="24"/>
                <w:szCs w:val="24"/>
              </w:rPr>
              <w:t>(ha vannak)</w:t>
            </w:r>
            <w:r w:rsidRPr="00F74E76">
              <w:rPr>
                <w:sz w:val="24"/>
                <w:szCs w:val="24"/>
              </w:rPr>
              <w:t>:</w:t>
            </w:r>
            <w:r w:rsidRPr="00F74E76">
              <w:rPr>
                <w:i/>
                <w:iCs/>
                <w:sz w:val="24"/>
                <w:szCs w:val="24"/>
              </w:rPr>
              <w:t xml:space="preserve"> </w:t>
            </w:r>
            <w:r w:rsidRPr="00F74E76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F74E76" w:rsidRPr="00F74E76" w:rsidTr="00286863">
        <w:tc>
          <w:tcPr>
            <w:tcW w:w="928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F74E76" w:rsidRPr="00F74E76" w:rsidRDefault="00F74E76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74E76">
              <w:rPr>
                <w:b/>
                <w:bCs/>
                <w:sz w:val="24"/>
                <w:szCs w:val="24"/>
              </w:rPr>
              <w:t>Tantárgyleírás</w:t>
            </w:r>
            <w:r w:rsidRPr="00F74E76">
              <w:rPr>
                <w:sz w:val="24"/>
                <w:szCs w:val="24"/>
              </w:rPr>
              <w:t xml:space="preserve">: az elsajátítandó </w:t>
            </w:r>
            <w:r w:rsidRPr="00F74E76">
              <w:rPr>
                <w:sz w:val="24"/>
                <w:szCs w:val="24"/>
                <w:u w:val="single"/>
              </w:rPr>
              <w:t>ismeretanyag</w:t>
            </w:r>
            <w:r w:rsidRPr="00F74E76">
              <w:rPr>
                <w:sz w:val="24"/>
                <w:szCs w:val="24"/>
              </w:rPr>
              <w:t xml:space="preserve"> és a kialakítandó </w:t>
            </w:r>
            <w:r w:rsidRPr="00F74E76">
              <w:rPr>
                <w:sz w:val="24"/>
                <w:szCs w:val="24"/>
                <w:u w:val="single"/>
              </w:rPr>
              <w:t>kompetenciák</w:t>
            </w:r>
            <w:r w:rsidRPr="00F74E76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74E76" w:rsidRPr="00F74E76" w:rsidTr="00286863">
        <w:trPr>
          <w:trHeight w:val="318"/>
        </w:trPr>
        <w:tc>
          <w:tcPr>
            <w:tcW w:w="9286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74E76" w:rsidRPr="00F74E76" w:rsidRDefault="00F74E76" w:rsidP="00286863">
            <w:pPr>
              <w:autoSpaceDE w:val="0"/>
              <w:autoSpaceDN w:val="0"/>
              <w:spacing w:before="60"/>
              <w:rPr>
                <w:color w:val="000000"/>
                <w:sz w:val="24"/>
                <w:szCs w:val="24"/>
              </w:rPr>
            </w:pPr>
            <w:r w:rsidRPr="00F74E76">
              <w:rPr>
                <w:b/>
                <w:bCs/>
                <w:sz w:val="24"/>
                <w:szCs w:val="24"/>
              </w:rPr>
              <w:t xml:space="preserve">A kurzus célja: </w:t>
            </w:r>
            <w:r w:rsidRPr="00F74E76">
              <w:rPr>
                <w:color w:val="000000"/>
                <w:sz w:val="24"/>
                <w:szCs w:val="24"/>
              </w:rPr>
              <w:t>Az alapképzés</w:t>
            </w:r>
            <w:r w:rsidRPr="00F74E7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74E76">
              <w:rPr>
                <w:color w:val="000000"/>
                <w:sz w:val="24"/>
                <w:szCs w:val="24"/>
              </w:rPr>
              <w:t xml:space="preserve">Meteorológia és klimatológia tárgyában szerzett ismeretek és készségek elmélyítése, a további hasonló nevű és felépítésű tárgyak anyagának segítése a légköri eredetű erőforrások és kockázatok bemutatásával. A két aspektus szerinti csoportosítás érzékelteti a légkör pillanatnyi és általános állapotának jelentőségét a természet és a társadalom életében. A néhány perctől a több évig terjedő időskálán bemutatjuk a kritikus meteorológiai jelenségeket, utalunk azok egy részének a más földi szférák által vezérelt jellegére, jellemezzük az előfordulások gyakoriságát hazánkban és a Föld egyes éghajlati körzeteiben. A kurzus az alapképzéstől eltérő szerkezetben és sokkal mélyebben, pl. a kis térségű légköri objektumokat alaposabban bemutatva vezeti végig a hallgatót a meteorológia és a klimatológia fejezetein. </w:t>
            </w:r>
          </w:p>
          <w:p w:rsidR="00F74E76" w:rsidRPr="00F74E76" w:rsidRDefault="00F74E76" w:rsidP="00286863">
            <w:pPr>
              <w:autoSpaceDE w:val="0"/>
              <w:autoSpaceDN w:val="0"/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74E76">
              <w:rPr>
                <w:b/>
                <w:bCs/>
                <w:sz w:val="24"/>
                <w:szCs w:val="24"/>
              </w:rPr>
              <w:t xml:space="preserve">A kurzus rövid tartalma: </w:t>
            </w:r>
          </w:p>
          <w:p w:rsidR="00F74E76" w:rsidRPr="00F74E76" w:rsidRDefault="00F74E76" w:rsidP="00286863">
            <w:pPr>
              <w:numPr>
                <w:ilvl w:val="0"/>
                <w:numId w:val="12"/>
              </w:numPr>
              <w:autoSpaceDE w:val="0"/>
              <w:autoSpaceDN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74E76">
              <w:rPr>
                <w:color w:val="000000"/>
                <w:sz w:val="24"/>
                <w:szCs w:val="24"/>
              </w:rPr>
              <w:t xml:space="preserve">Időjárás és éghajlat. Erőforrás- illetve kockázat. A légköri mozgásrendszerek térbeli és időbeli jellemzői. A légkör fő cirkulációs objektumai. </w:t>
            </w:r>
          </w:p>
          <w:p w:rsidR="00F74E76" w:rsidRPr="00F74E76" w:rsidRDefault="00F74E76" w:rsidP="00286863">
            <w:pPr>
              <w:numPr>
                <w:ilvl w:val="0"/>
                <w:numId w:val="12"/>
              </w:numPr>
              <w:autoSpaceDE w:val="0"/>
              <w:autoSpaceDN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74E76">
              <w:rPr>
                <w:color w:val="000000"/>
                <w:sz w:val="24"/>
                <w:szCs w:val="24"/>
              </w:rPr>
              <w:t>A veszélyes időjárási jelenségek kulcsfolyamata: a konvekció (függőleges feláramlás). A konvekció szerepe az egyes légköri objektumokban.</w:t>
            </w:r>
          </w:p>
          <w:p w:rsidR="00F74E76" w:rsidRPr="00F74E76" w:rsidRDefault="00F74E76" w:rsidP="00286863">
            <w:pPr>
              <w:numPr>
                <w:ilvl w:val="0"/>
                <w:numId w:val="12"/>
              </w:numPr>
              <w:autoSpaceDE w:val="0"/>
              <w:autoSpaceDN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74E76">
              <w:rPr>
                <w:color w:val="000000"/>
                <w:sz w:val="24"/>
                <w:szCs w:val="24"/>
              </w:rPr>
              <w:t>A mérsékelt égöv jellemzői: Planetáris hullámok, a ciklonok és anticiklonok. A mezoléptékű képződmények szerepe a frontok aktivitásában.</w:t>
            </w:r>
          </w:p>
          <w:p w:rsidR="00F74E76" w:rsidRPr="00F74E76" w:rsidRDefault="00F74E76" w:rsidP="00286863">
            <w:pPr>
              <w:numPr>
                <w:ilvl w:val="0"/>
                <w:numId w:val="12"/>
              </w:numPr>
              <w:autoSpaceDE w:val="0"/>
              <w:autoSpaceDN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74E76">
              <w:rPr>
                <w:color w:val="000000"/>
                <w:sz w:val="24"/>
                <w:szCs w:val="24"/>
              </w:rPr>
              <w:t>Trópusi ciklon (hurrikán), tornádók, egyéb mezoléptékű illetve konvektív rendszerek.</w:t>
            </w:r>
            <w:r w:rsidRPr="00F74E7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F74E76" w:rsidRPr="00F74E76" w:rsidRDefault="00F74E76" w:rsidP="00286863">
            <w:pPr>
              <w:numPr>
                <w:ilvl w:val="0"/>
                <w:numId w:val="12"/>
              </w:numPr>
              <w:autoSpaceDE w:val="0"/>
              <w:autoSpaceDN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74E76">
              <w:rPr>
                <w:i/>
                <w:iCs/>
                <w:color w:val="000000"/>
                <w:sz w:val="24"/>
                <w:szCs w:val="24"/>
              </w:rPr>
              <w:t>A légkör, mint erőforrás</w:t>
            </w:r>
            <w:r w:rsidRPr="00F74E76">
              <w:rPr>
                <w:color w:val="000000"/>
                <w:sz w:val="24"/>
                <w:szCs w:val="24"/>
              </w:rPr>
              <w:t xml:space="preserve"> a vízkészletek, a természetes és a művelt növénytakaró, a közlekedés, az építés és az emberi élet számára. </w:t>
            </w:r>
          </w:p>
          <w:p w:rsidR="00F74E76" w:rsidRPr="00F74E76" w:rsidRDefault="00F74E76" w:rsidP="00286863">
            <w:pPr>
              <w:numPr>
                <w:ilvl w:val="0"/>
                <w:numId w:val="12"/>
              </w:numPr>
              <w:autoSpaceDE w:val="0"/>
              <w:autoSpaceDN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74E76">
              <w:rPr>
                <w:color w:val="000000"/>
                <w:sz w:val="24"/>
                <w:szCs w:val="24"/>
              </w:rPr>
              <w:t xml:space="preserve">A légkör, mint a megújuló energiaforrások jelentős részének közvetítője: napenergia, szélenergia. A megújuló energia-készletek becslése. Hatás a vízi- és a bioenergiára. </w:t>
            </w:r>
          </w:p>
          <w:p w:rsidR="00F74E76" w:rsidRPr="00F74E76" w:rsidRDefault="00F74E76" w:rsidP="00286863">
            <w:pPr>
              <w:numPr>
                <w:ilvl w:val="0"/>
                <w:numId w:val="12"/>
              </w:numPr>
              <w:autoSpaceDE w:val="0"/>
              <w:autoSpaceDN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74E76">
              <w:rPr>
                <w:color w:val="000000"/>
                <w:sz w:val="24"/>
                <w:szCs w:val="24"/>
              </w:rPr>
              <w:t xml:space="preserve">A légkör, mint erőforrás átlagos jellemzői hazánkban és a Föld nagy éghajlati körzeteiben. Összevetés más energiaformák területi és időbeli sűrűségével. </w:t>
            </w:r>
          </w:p>
          <w:p w:rsidR="00F74E76" w:rsidRPr="00F74E76" w:rsidRDefault="00F74E76" w:rsidP="00286863">
            <w:pPr>
              <w:numPr>
                <w:ilvl w:val="0"/>
                <w:numId w:val="12"/>
              </w:numPr>
              <w:autoSpaceDE w:val="0"/>
              <w:autoSpaceDN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74E76">
              <w:rPr>
                <w:color w:val="000000"/>
                <w:sz w:val="24"/>
                <w:szCs w:val="24"/>
              </w:rPr>
              <w:t xml:space="preserve">A </w:t>
            </w:r>
            <w:r w:rsidRPr="00F74E76">
              <w:rPr>
                <w:i/>
                <w:iCs/>
                <w:color w:val="000000"/>
                <w:sz w:val="24"/>
                <w:szCs w:val="24"/>
              </w:rPr>
              <w:t>légkör, mint kockázat</w:t>
            </w:r>
            <w:r w:rsidRPr="00F74E76">
              <w:rPr>
                <w:color w:val="000000"/>
                <w:sz w:val="24"/>
                <w:szCs w:val="24"/>
              </w:rPr>
              <w:t>. A légkör fizikai állapotával kapcsolatos kockázatok a tér-idő lépték csökkenő sorrendjében. E képződmények legfontosabb hatásai az élő és az élettelen természetre, magára az emberre, valamint épített környezetünk elemeire.</w:t>
            </w:r>
          </w:p>
          <w:p w:rsidR="00F74E76" w:rsidRPr="00F74E76" w:rsidRDefault="00F74E76" w:rsidP="00286863">
            <w:pPr>
              <w:numPr>
                <w:ilvl w:val="0"/>
                <w:numId w:val="12"/>
              </w:numPr>
              <w:autoSpaceDE w:val="0"/>
              <w:autoSpaceDN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74E76">
              <w:rPr>
                <w:color w:val="000000"/>
                <w:sz w:val="24"/>
                <w:szCs w:val="24"/>
              </w:rPr>
              <w:t xml:space="preserve">Aszály, az erős fagyok, hőhullámok, késő tavaszi fagyok, nagytérségű és konvektív szélerősödés, tartós illetve heves esőzés, hirtelen hóolvadás, áradás, jégeső, stb. </w:t>
            </w:r>
          </w:p>
          <w:p w:rsidR="00F74E76" w:rsidRPr="00F74E76" w:rsidRDefault="00F74E76" w:rsidP="00286863">
            <w:pPr>
              <w:numPr>
                <w:ilvl w:val="0"/>
                <w:numId w:val="12"/>
              </w:numPr>
              <w:autoSpaceDE w:val="0"/>
              <w:autoSpaceDN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74E76">
              <w:rPr>
                <w:color w:val="000000"/>
                <w:sz w:val="24"/>
                <w:szCs w:val="24"/>
              </w:rPr>
              <w:t xml:space="preserve">A veszélyes időjárási jelenségek tudományos előrejelzésének eszközei, lehetőségei és korlátai. A jégeső elhárítás, felhő-oszlatás és csapadékkeltés elvi alapjai és kilátásai. </w:t>
            </w:r>
          </w:p>
          <w:p w:rsidR="00F74E76" w:rsidRPr="00F74E76" w:rsidRDefault="00F74E76" w:rsidP="00286863">
            <w:pPr>
              <w:numPr>
                <w:ilvl w:val="0"/>
                <w:numId w:val="12"/>
              </w:numPr>
              <w:autoSpaceDE w:val="0"/>
              <w:autoSpaceDN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74E76">
              <w:rPr>
                <w:color w:val="000000"/>
                <w:sz w:val="24"/>
                <w:szCs w:val="24"/>
              </w:rPr>
              <w:lastRenderedPageBreak/>
              <w:t xml:space="preserve">A levegő kémiai összetételének jellemzői. Globális, kontinentális és regionális, lokális és városi léptékek. A levegőminőség megfigyelését célzó mérőhálózatok. </w:t>
            </w:r>
          </w:p>
          <w:p w:rsidR="00F74E76" w:rsidRPr="00F74E76" w:rsidRDefault="00F74E76" w:rsidP="00286863">
            <w:pPr>
              <w:numPr>
                <w:ilvl w:val="0"/>
                <w:numId w:val="12"/>
              </w:numPr>
              <w:autoSpaceDE w:val="0"/>
              <w:autoSpaceDN w:val="0"/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74E76">
              <w:rPr>
                <w:color w:val="000000"/>
                <w:sz w:val="24"/>
                <w:szCs w:val="24"/>
              </w:rPr>
              <w:t>A modern kor levegőminőségi problémái hazánkban, a fejlett világban és a Föld elmaradott technológiájú körzeteiben. A szennyezett levegő káros kémiai hatásai.</w:t>
            </w:r>
          </w:p>
          <w:p w:rsidR="00F74E76" w:rsidRPr="00F74E76" w:rsidRDefault="00F74E76" w:rsidP="00286863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F74E76">
              <w:rPr>
                <w:b/>
                <w:bCs/>
                <w:color w:val="000000"/>
                <w:sz w:val="24"/>
                <w:szCs w:val="24"/>
              </w:rPr>
              <w:t xml:space="preserve">Módszerek: </w:t>
            </w:r>
            <w:r w:rsidRPr="00F74E76">
              <w:rPr>
                <w:color w:val="000000"/>
                <w:sz w:val="24"/>
                <w:szCs w:val="24"/>
              </w:rPr>
              <w:t>Előadás, Internetes szemléltetés, a prezentációk átadásával.</w:t>
            </w:r>
          </w:p>
          <w:p w:rsidR="00F74E76" w:rsidRPr="00F74E76" w:rsidRDefault="00F74E76" w:rsidP="00286863">
            <w:pPr>
              <w:tabs>
                <w:tab w:val="left" w:pos="0"/>
              </w:tabs>
              <w:jc w:val="both"/>
              <w:rPr>
                <w:color w:val="FF0000"/>
                <w:spacing w:val="-2"/>
                <w:sz w:val="24"/>
                <w:szCs w:val="24"/>
              </w:rPr>
            </w:pPr>
            <w:r w:rsidRPr="00F74E76">
              <w:rPr>
                <w:b/>
                <w:bCs/>
                <w:color w:val="000000"/>
                <w:spacing w:val="-2"/>
                <w:sz w:val="24"/>
                <w:szCs w:val="24"/>
              </w:rPr>
              <w:t>A kurzus teljesítése során megszerezhető szakmai kompetenciák:</w:t>
            </w:r>
            <w:r w:rsidRPr="00F74E76">
              <w:rPr>
                <w:color w:val="FF0000"/>
                <w:spacing w:val="-2"/>
                <w:sz w:val="24"/>
                <w:szCs w:val="24"/>
              </w:rPr>
              <w:t xml:space="preserve"> </w:t>
            </w:r>
          </w:p>
          <w:p w:rsidR="00F74E76" w:rsidRPr="00F74E76" w:rsidRDefault="00F74E76" w:rsidP="00286863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F74E76">
              <w:rPr>
                <w:sz w:val="24"/>
                <w:szCs w:val="24"/>
              </w:rPr>
              <w:t xml:space="preserve">A földrajzi terület belső törvényszerűségeinek felismerése, az adott témakörhöz kapcsolódó eloszlási mintázatok felismerése és megjegyzése. A földrajz mélyebb összefüggéseinek megértése, a tér, hely és régió elemeinek integrálása. Felkészítés alternatív megoldások kidolgozására, az emberi társadalom és földrajzi környezet kölcsönhatásából fakadó problémák vizsgálatára és megoldására. A személyes felelősségvállalás erősítése, példák az együttműködésre, a csoportmunkában való megoldásokra. </w:t>
            </w:r>
            <w:r w:rsidRPr="00F74E76">
              <w:rPr>
                <w:rFonts w:ascii="TimesNewRomanPSMT" w:hAnsi="TimesNewRomanPSMT" w:cs="TimesNewRomanPSMT"/>
                <w:spacing w:val="-2"/>
                <w:sz w:val="24"/>
                <w:szCs w:val="24"/>
              </w:rPr>
              <w:t>A</w:t>
            </w:r>
            <w:r w:rsidRPr="00F74E76">
              <w:rPr>
                <w:rFonts w:ascii="TimesNewRomanPSMT CE" w:hAnsi="TimesNewRomanPSMT CE" w:cs="TimesNewRomanPSMT CE"/>
                <w:spacing w:val="-2"/>
                <w:sz w:val="24"/>
                <w:szCs w:val="24"/>
              </w:rPr>
              <w:t xml:space="preserve"> jövő iránti elkötelezettség és a fenntartható fejlődés iránti felelősség</w:t>
            </w:r>
            <w:r w:rsidRPr="00F74E76">
              <w:rPr>
                <w:rFonts w:ascii="TimesNewRomanPSMT" w:hAnsi="TimesNewRomanPSMT" w:cs="TimesNewRomanPSMT"/>
                <w:spacing w:val="-2"/>
                <w:sz w:val="24"/>
                <w:szCs w:val="24"/>
              </w:rPr>
              <w:t>.</w:t>
            </w:r>
          </w:p>
        </w:tc>
      </w:tr>
      <w:tr w:rsidR="00F74E76" w:rsidRPr="00F74E76" w:rsidTr="00286863">
        <w:tc>
          <w:tcPr>
            <w:tcW w:w="928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F74E76" w:rsidRPr="00F74E76" w:rsidRDefault="00F74E76" w:rsidP="00286863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F74E76">
              <w:rPr>
                <w:sz w:val="24"/>
                <w:szCs w:val="24"/>
              </w:rPr>
              <w:lastRenderedPageBreak/>
              <w:t xml:space="preserve">A </w:t>
            </w:r>
            <w:r w:rsidRPr="00F74E76">
              <w:rPr>
                <w:b/>
                <w:bCs/>
                <w:sz w:val="24"/>
                <w:szCs w:val="24"/>
              </w:rPr>
              <w:t>3-5</w:t>
            </w:r>
            <w:r w:rsidRPr="00F74E76">
              <w:rPr>
                <w:sz w:val="24"/>
                <w:szCs w:val="24"/>
              </w:rPr>
              <w:t xml:space="preserve"> legfontosabb </w:t>
            </w:r>
            <w:r w:rsidRPr="00F74E76">
              <w:rPr>
                <w:i/>
                <w:iCs/>
                <w:sz w:val="24"/>
                <w:szCs w:val="24"/>
              </w:rPr>
              <w:t>kötelező,</w:t>
            </w:r>
            <w:r w:rsidRPr="00F74E76">
              <w:rPr>
                <w:sz w:val="24"/>
                <w:szCs w:val="24"/>
              </w:rPr>
              <w:t xml:space="preserve"> illetve </w:t>
            </w:r>
            <w:r w:rsidRPr="00F74E76">
              <w:rPr>
                <w:i/>
                <w:iCs/>
                <w:sz w:val="24"/>
                <w:szCs w:val="24"/>
              </w:rPr>
              <w:t>ajánlott</w:t>
            </w:r>
            <w:r w:rsidRPr="00F74E7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4E76">
              <w:rPr>
                <w:b/>
                <w:bCs/>
                <w:sz w:val="24"/>
                <w:szCs w:val="24"/>
              </w:rPr>
              <w:t xml:space="preserve">irodalom </w:t>
            </w:r>
            <w:r w:rsidRPr="00F74E76">
              <w:rPr>
                <w:sz w:val="24"/>
                <w:szCs w:val="24"/>
              </w:rPr>
              <w:t>(jegyzet, tankönyv) felsorolása biblio</w:t>
            </w:r>
            <w:r w:rsidRPr="00F74E76">
              <w:rPr>
                <w:sz w:val="24"/>
                <w:szCs w:val="24"/>
              </w:rPr>
              <w:softHyphen/>
              <w:t>gráfiai adatokkal (szerző, cím, kiadás adatai, oldalak, ISBN)</w:t>
            </w:r>
            <w:r w:rsidRPr="00F74E76">
              <w:rPr>
                <w:rFonts w:ascii="TimesNewRomanPSMT" w:hAnsi="TimesNewRomanPSMT" w:cs="TimesNewRomanPSMT"/>
                <w:spacing w:val="-2"/>
                <w:sz w:val="24"/>
                <w:szCs w:val="24"/>
              </w:rPr>
              <w:t xml:space="preserve"> </w:t>
            </w:r>
          </w:p>
        </w:tc>
      </w:tr>
      <w:tr w:rsidR="00F74E76" w:rsidRPr="00F74E76" w:rsidTr="00286863">
        <w:tc>
          <w:tcPr>
            <w:tcW w:w="9286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F74E76" w:rsidRPr="00F74E76" w:rsidRDefault="00F74E76" w:rsidP="00286863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F74E76">
              <w:rPr>
                <w:b/>
                <w:bCs/>
                <w:color w:val="000000"/>
                <w:sz w:val="24"/>
                <w:szCs w:val="24"/>
              </w:rPr>
              <w:t>Kötelező irodalom:</w:t>
            </w:r>
          </w:p>
          <w:p w:rsidR="00F74E76" w:rsidRPr="00F74E76" w:rsidRDefault="00F74E76" w:rsidP="00286863">
            <w:pPr>
              <w:ind w:left="709" w:hanging="709"/>
              <w:rPr>
                <w:color w:val="000000" w:themeColor="text1"/>
                <w:sz w:val="24"/>
                <w:szCs w:val="24"/>
              </w:rPr>
            </w:pPr>
            <w:r w:rsidRPr="00F74E76">
              <w:rPr>
                <w:color w:val="000000" w:themeColor="text1"/>
                <w:sz w:val="24"/>
                <w:szCs w:val="24"/>
              </w:rPr>
              <w:t>GÖTZ G. (2001): Káosz és prognosztika. Országos Meteorológiai Szolgálat, Budapest, 490 o.</w:t>
            </w:r>
          </w:p>
          <w:p w:rsidR="00F74E76" w:rsidRPr="00F74E76" w:rsidRDefault="00F74E76" w:rsidP="00286863">
            <w:pPr>
              <w:spacing w:before="120"/>
              <w:ind w:left="709" w:hanging="709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4E76">
              <w:rPr>
                <w:sz w:val="24"/>
                <w:szCs w:val="24"/>
              </w:rPr>
              <w:t xml:space="preserve">SZÁSZ G., TŐKEI L., (1997): </w:t>
            </w:r>
            <w:r w:rsidRPr="00F74E76">
              <w:rPr>
                <w:i/>
                <w:iCs/>
                <w:sz w:val="24"/>
                <w:szCs w:val="24"/>
              </w:rPr>
              <w:t xml:space="preserve">Meteorológia mezőgazdáknak, kertészeknek, erdészeknek. </w:t>
            </w:r>
            <w:r w:rsidRPr="00F74E76">
              <w:rPr>
                <w:sz w:val="24"/>
                <w:szCs w:val="24"/>
              </w:rPr>
              <w:t>Mezőgazda Kiadó, 722 o.</w:t>
            </w:r>
            <w:r w:rsidRPr="00F74E7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74E76" w:rsidRPr="00F74E76" w:rsidRDefault="00F74E76" w:rsidP="00286863">
            <w:pPr>
              <w:spacing w:before="120"/>
              <w:ind w:left="709" w:hanging="709"/>
              <w:jc w:val="both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F74E76">
              <w:rPr>
                <w:spacing w:val="-2"/>
                <w:sz w:val="24"/>
                <w:szCs w:val="24"/>
              </w:rPr>
              <w:t xml:space="preserve">BOZÓ L., MÉSZÁROS E., MOLNÁR Á., (2006): </w:t>
            </w:r>
            <w:r w:rsidRPr="00F74E76">
              <w:rPr>
                <w:i/>
                <w:iCs/>
                <w:spacing w:val="-2"/>
                <w:sz w:val="24"/>
                <w:szCs w:val="24"/>
              </w:rPr>
              <w:t>Levegőkörnyezet.</w:t>
            </w:r>
            <w:r w:rsidRPr="00F74E76">
              <w:rPr>
                <w:spacing w:val="-2"/>
                <w:sz w:val="24"/>
                <w:szCs w:val="24"/>
              </w:rPr>
              <w:t xml:space="preserve"> Akadémiai Kiadó, 251 o.</w:t>
            </w:r>
            <w:r w:rsidRPr="00F74E76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F74E76" w:rsidRPr="00F74E76" w:rsidRDefault="00F74E76" w:rsidP="00286863">
            <w:pPr>
              <w:spacing w:before="120"/>
              <w:ind w:left="709" w:hanging="709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4E76">
              <w:rPr>
                <w:sz w:val="24"/>
                <w:szCs w:val="24"/>
              </w:rPr>
              <w:t xml:space="preserve">HORVÁTH ÁKOS, (2007): </w:t>
            </w:r>
            <w:r w:rsidRPr="00F74E76">
              <w:rPr>
                <w:i/>
                <w:iCs/>
                <w:sz w:val="24"/>
                <w:szCs w:val="24"/>
              </w:rPr>
              <w:t>A légköri konvekció.</w:t>
            </w:r>
            <w:r w:rsidRPr="00F74E76">
              <w:rPr>
                <w:sz w:val="24"/>
                <w:szCs w:val="24"/>
              </w:rPr>
              <w:t xml:space="preserve"> Országos Meteorológiai Szolgálat, 64 o.</w:t>
            </w:r>
            <w:r w:rsidRPr="00F74E7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74E76" w:rsidRPr="00F74E76" w:rsidRDefault="00F74E76" w:rsidP="00286863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F74E76">
              <w:rPr>
                <w:b/>
                <w:bCs/>
                <w:color w:val="000000"/>
                <w:sz w:val="24"/>
                <w:szCs w:val="24"/>
              </w:rPr>
              <w:t>Ajánlott irodalom:</w:t>
            </w:r>
          </w:p>
          <w:p w:rsidR="00F74E76" w:rsidRPr="00F74E76" w:rsidRDefault="00F74E76" w:rsidP="00286863">
            <w:pPr>
              <w:spacing w:before="120"/>
              <w:ind w:left="709" w:right="57" w:hanging="709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4E76">
              <w:rPr>
                <w:sz w:val="24"/>
                <w:szCs w:val="24"/>
              </w:rPr>
              <w:t xml:space="preserve">GERESDI ISTVÁN, (2004): </w:t>
            </w:r>
            <w:r w:rsidRPr="00F74E76">
              <w:rPr>
                <w:i/>
                <w:iCs/>
                <w:sz w:val="24"/>
                <w:szCs w:val="24"/>
              </w:rPr>
              <w:t>Felhőfizika.</w:t>
            </w:r>
            <w:r w:rsidRPr="00F74E76">
              <w:rPr>
                <w:sz w:val="24"/>
                <w:szCs w:val="24"/>
              </w:rPr>
              <w:t xml:space="preserve"> Dialóg Campus Kiadó, Budapest-Pécs, 268 o.</w:t>
            </w:r>
            <w:r w:rsidRPr="00F74E7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74E76" w:rsidRPr="00F74E76" w:rsidRDefault="00F74E76" w:rsidP="00286863">
            <w:pPr>
              <w:spacing w:before="120"/>
              <w:ind w:left="709" w:right="57" w:hanging="709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4E76">
              <w:rPr>
                <w:sz w:val="24"/>
                <w:szCs w:val="24"/>
              </w:rPr>
              <w:t xml:space="preserve">BARTHA IMRE, (2008): </w:t>
            </w:r>
            <w:r w:rsidRPr="00F74E76">
              <w:rPr>
                <w:i/>
                <w:iCs/>
                <w:sz w:val="24"/>
                <w:szCs w:val="24"/>
              </w:rPr>
              <w:t>A balatoni viharjelzés története és a meteorológiai szolgáltatások fejlődése a kezdetektől napjainkig</w:t>
            </w:r>
            <w:r w:rsidRPr="00F74E76">
              <w:rPr>
                <w:sz w:val="24"/>
                <w:szCs w:val="24"/>
              </w:rPr>
              <w:t>. Országos Meteorológiai Szolgálat, 40 o.</w:t>
            </w:r>
            <w:r w:rsidRPr="00F74E7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74E76" w:rsidRPr="00F74E76" w:rsidRDefault="00F74E76" w:rsidP="00286863">
            <w:pPr>
              <w:spacing w:before="120"/>
              <w:ind w:left="709" w:right="57" w:hanging="709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4E76">
              <w:rPr>
                <w:sz w:val="24"/>
                <w:szCs w:val="24"/>
              </w:rPr>
              <w:t xml:space="preserve">HENSON R., (2002): </w:t>
            </w:r>
            <w:r w:rsidRPr="00F74E76">
              <w:rPr>
                <w:i/>
                <w:iCs/>
                <w:sz w:val="24"/>
                <w:szCs w:val="24"/>
              </w:rPr>
              <w:t>Rough Guide on Weather</w:t>
            </w:r>
            <w:r w:rsidRPr="00F74E76">
              <w:rPr>
                <w:sz w:val="24"/>
                <w:szCs w:val="24"/>
              </w:rPr>
              <w:t>. Rough Guides Ltd.. 416 pp.</w:t>
            </w:r>
            <w:r w:rsidRPr="00F74E7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74E76" w:rsidRPr="00F74E76" w:rsidRDefault="00F74E76" w:rsidP="00286863">
            <w:pPr>
              <w:spacing w:before="120"/>
              <w:ind w:left="709" w:right="57" w:hanging="709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4E76">
              <w:rPr>
                <w:sz w:val="24"/>
                <w:szCs w:val="24"/>
              </w:rPr>
              <w:t xml:space="preserve">POTTER TH. D. AND COLMAN B. R., (eds), (2003): </w:t>
            </w:r>
            <w:r w:rsidRPr="00F74E76">
              <w:rPr>
                <w:i/>
                <w:iCs/>
                <w:sz w:val="24"/>
                <w:szCs w:val="24"/>
              </w:rPr>
              <w:t xml:space="preserve">Handbook of Weather, Climate and Water. Dynamics, Climate, </w:t>
            </w:r>
            <w:r w:rsidRPr="00F74E76">
              <w:rPr>
                <w:i/>
                <w:iCs/>
                <w:spacing w:val="-2"/>
                <w:sz w:val="24"/>
                <w:szCs w:val="24"/>
              </w:rPr>
              <w:t>I. Physical Meteorology, Weather Systems and Measurements</w:t>
            </w:r>
            <w:r w:rsidRPr="00F74E76">
              <w:rPr>
                <w:spacing w:val="-2"/>
                <w:sz w:val="24"/>
                <w:szCs w:val="24"/>
              </w:rPr>
              <w:t xml:space="preserve">. 973 pp., </w:t>
            </w:r>
            <w:r w:rsidRPr="00F74E76">
              <w:rPr>
                <w:iCs/>
                <w:spacing w:val="-2"/>
                <w:sz w:val="24"/>
                <w:szCs w:val="24"/>
              </w:rPr>
              <w:t>II. Atmospheric Chemistry, Hydrology, and Societal Impacts</w:t>
            </w:r>
            <w:r w:rsidRPr="00F74E76">
              <w:rPr>
                <w:spacing w:val="-2"/>
                <w:sz w:val="24"/>
                <w:szCs w:val="24"/>
              </w:rPr>
              <w:t xml:space="preserve">. 966 pp. </w:t>
            </w:r>
          </w:p>
          <w:p w:rsidR="00F74E76" w:rsidRPr="00F74E76" w:rsidRDefault="00F74E76" w:rsidP="00286863">
            <w:pPr>
              <w:autoSpaceDE w:val="0"/>
              <w:autoSpaceDN w:val="0"/>
              <w:adjustRightInd w:val="0"/>
              <w:ind w:left="709" w:right="57" w:hanging="709"/>
              <w:rPr>
                <w:color w:val="000000"/>
                <w:sz w:val="24"/>
                <w:szCs w:val="24"/>
              </w:rPr>
            </w:pPr>
            <w:r w:rsidRPr="00F74E76">
              <w:rPr>
                <w:sz w:val="24"/>
                <w:szCs w:val="24"/>
              </w:rPr>
              <w:t xml:space="preserve">NOTT, JONATHAN, (2006): </w:t>
            </w:r>
            <w:r w:rsidRPr="00F74E76">
              <w:rPr>
                <w:i/>
                <w:iCs/>
                <w:sz w:val="24"/>
                <w:szCs w:val="24"/>
              </w:rPr>
              <w:t>Extreme Events. A physical reconstruction and risk assessment.</w:t>
            </w:r>
            <w:r w:rsidRPr="00F74E76">
              <w:rPr>
                <w:sz w:val="24"/>
                <w:szCs w:val="24"/>
              </w:rPr>
              <w:t xml:space="preserve"> Cambridge University Press, 297 pp.</w:t>
            </w:r>
          </w:p>
        </w:tc>
      </w:tr>
      <w:tr w:rsidR="00F74E76" w:rsidRPr="00F74E76" w:rsidTr="00286863">
        <w:trPr>
          <w:trHeight w:val="338"/>
        </w:trPr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F74E76" w:rsidRPr="00F74E76" w:rsidRDefault="00F74E76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74E76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F74E76">
              <w:rPr>
                <w:sz w:val="24"/>
                <w:szCs w:val="24"/>
              </w:rPr>
              <w:t>(</w:t>
            </w:r>
            <w:r w:rsidRPr="00F74E76">
              <w:rPr>
                <w:i/>
                <w:iCs/>
                <w:sz w:val="24"/>
                <w:szCs w:val="24"/>
              </w:rPr>
              <w:t>név, beosztás, tud. fokozat</w:t>
            </w:r>
            <w:r w:rsidRPr="00F74E76">
              <w:rPr>
                <w:sz w:val="24"/>
                <w:szCs w:val="24"/>
              </w:rPr>
              <w:t>)</w:t>
            </w:r>
            <w:r w:rsidRPr="00F74E76">
              <w:rPr>
                <w:b/>
                <w:bCs/>
                <w:sz w:val="24"/>
                <w:szCs w:val="24"/>
              </w:rPr>
              <w:t xml:space="preserve">: Prof. Dr. Mika János egyetemi tanár, DSc. </w:t>
            </w:r>
          </w:p>
        </w:tc>
      </w:tr>
      <w:tr w:rsidR="00F74E76" w:rsidRPr="002306DD" w:rsidTr="00286863">
        <w:trPr>
          <w:trHeight w:val="337"/>
        </w:trPr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F74E76" w:rsidRPr="002306DD" w:rsidRDefault="00F74E76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74E76">
              <w:rPr>
                <w:b/>
                <w:bCs/>
                <w:sz w:val="24"/>
                <w:szCs w:val="24"/>
              </w:rPr>
              <w:t xml:space="preserve">Tantárgy oktatásába bevont oktató(k), </w:t>
            </w:r>
            <w:r w:rsidRPr="00F74E76">
              <w:rPr>
                <w:sz w:val="24"/>
                <w:szCs w:val="24"/>
              </w:rPr>
              <w:t>ha vannak</w:t>
            </w:r>
            <w:r w:rsidRPr="00F74E76">
              <w:rPr>
                <w:b/>
                <w:bCs/>
                <w:sz w:val="24"/>
                <w:szCs w:val="24"/>
              </w:rPr>
              <w:t xml:space="preserve"> </w:t>
            </w:r>
            <w:r w:rsidRPr="00F74E76">
              <w:rPr>
                <w:sz w:val="24"/>
                <w:szCs w:val="24"/>
              </w:rPr>
              <w:t>(</w:t>
            </w:r>
            <w:r w:rsidRPr="00F74E76">
              <w:rPr>
                <w:i/>
                <w:iCs/>
                <w:sz w:val="24"/>
                <w:szCs w:val="24"/>
              </w:rPr>
              <w:t>név, beosztás, tud. fokozat</w:t>
            </w:r>
          </w:p>
        </w:tc>
      </w:tr>
    </w:tbl>
    <w:p w:rsidR="009F0158" w:rsidRDefault="00AE69E9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E9" w:rsidRDefault="00AE69E9" w:rsidP="00F44A28">
      <w:r>
        <w:separator/>
      </w:r>
    </w:p>
  </w:endnote>
  <w:endnote w:type="continuationSeparator" w:id="0">
    <w:p w:rsidR="00AE69E9" w:rsidRDefault="00AE69E9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E9" w:rsidRDefault="00AE69E9" w:rsidP="00F44A28">
      <w:r>
        <w:separator/>
      </w:r>
    </w:p>
  </w:footnote>
  <w:footnote w:type="continuationSeparator" w:id="0">
    <w:p w:rsidR="00AE69E9" w:rsidRDefault="00AE69E9" w:rsidP="00F44A28">
      <w:r>
        <w:continuationSeparator/>
      </w:r>
    </w:p>
  </w:footnote>
  <w:footnote w:id="1">
    <w:p w:rsidR="00F74E76" w:rsidRDefault="00F74E76" w:rsidP="00F74E7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74E76" w:rsidRDefault="00F74E76" w:rsidP="00F74E7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C4704"/>
    <w:rsid w:val="00146A82"/>
    <w:rsid w:val="001571A2"/>
    <w:rsid w:val="00175051"/>
    <w:rsid w:val="001A6653"/>
    <w:rsid w:val="001A6F9B"/>
    <w:rsid w:val="001C7B79"/>
    <w:rsid w:val="00214244"/>
    <w:rsid w:val="002304DF"/>
    <w:rsid w:val="00237681"/>
    <w:rsid w:val="002429BE"/>
    <w:rsid w:val="002710EE"/>
    <w:rsid w:val="0028494A"/>
    <w:rsid w:val="0038608D"/>
    <w:rsid w:val="00406833"/>
    <w:rsid w:val="004D2550"/>
    <w:rsid w:val="004E29FC"/>
    <w:rsid w:val="004F3D22"/>
    <w:rsid w:val="00526CAD"/>
    <w:rsid w:val="0059393D"/>
    <w:rsid w:val="006A3340"/>
    <w:rsid w:val="006C0672"/>
    <w:rsid w:val="007A4E51"/>
    <w:rsid w:val="009070C9"/>
    <w:rsid w:val="00945074"/>
    <w:rsid w:val="00963E41"/>
    <w:rsid w:val="009D2144"/>
    <w:rsid w:val="00A40B9F"/>
    <w:rsid w:val="00AE69E9"/>
    <w:rsid w:val="00B05A67"/>
    <w:rsid w:val="00B704C5"/>
    <w:rsid w:val="00B80149"/>
    <w:rsid w:val="00BB75D6"/>
    <w:rsid w:val="00BC79C0"/>
    <w:rsid w:val="00D61CCF"/>
    <w:rsid w:val="00DA7902"/>
    <w:rsid w:val="00E1252E"/>
    <w:rsid w:val="00E13E5F"/>
    <w:rsid w:val="00E576DC"/>
    <w:rsid w:val="00EF0AE4"/>
    <w:rsid w:val="00F22A8E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00C6-FF4A-4EA1-B31C-20FBC033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2012-01-27T10:59:00Z</dcterms:created>
  <dcterms:modified xsi:type="dcterms:W3CDTF">2012-07-09T11:55:00Z</dcterms:modified>
</cp:coreProperties>
</file>