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C76BFC" w:rsidRPr="00C76BFC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Tantárgy neve: Fenntarthatóság és kockázatok tudatosítása</w:t>
            </w:r>
          </w:p>
        </w:tc>
        <w:tc>
          <w:tcPr>
            <w:tcW w:w="3131" w:type="dxa"/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Kód:</w:t>
            </w:r>
          </w:p>
          <w:p w:rsidR="00C76BFC" w:rsidRPr="00C76BFC" w:rsidRDefault="00BC5AF7" w:rsidP="00C76BFC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C76BFC" w:rsidRPr="00C76BFC">
              <w:rPr>
                <w:b/>
                <w:bCs/>
                <w:sz w:val="22"/>
                <w:szCs w:val="22"/>
              </w:rPr>
              <w:t>MT_G</w:t>
            </w:r>
            <w:r w:rsidR="00C76BFC">
              <w:rPr>
                <w:b/>
                <w:bCs/>
                <w:sz w:val="22"/>
                <w:szCs w:val="22"/>
              </w:rPr>
              <w:t>G</w:t>
            </w:r>
            <w:r w:rsidR="00C76BFC" w:rsidRPr="00C76BFC">
              <w:rPr>
                <w:b/>
                <w:bCs/>
                <w:sz w:val="22"/>
                <w:szCs w:val="22"/>
              </w:rPr>
              <w:t>224G3</w:t>
            </w:r>
          </w:p>
        </w:tc>
        <w:tc>
          <w:tcPr>
            <w:tcW w:w="3132" w:type="dxa"/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C76BFC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tanóra típusa</w:t>
            </w:r>
            <w:r w:rsidRPr="00C76BFC">
              <w:rPr>
                <w:sz w:val="22"/>
                <w:szCs w:val="22"/>
                <w:vertAlign w:val="superscript"/>
              </w:rPr>
              <w:footnoteReference w:id="1"/>
            </w:r>
            <w:r w:rsidRPr="00C76BFC">
              <w:rPr>
                <w:sz w:val="22"/>
                <w:szCs w:val="22"/>
              </w:rPr>
              <w:t>:</w:t>
            </w:r>
            <w:r w:rsidRPr="00C76BFC">
              <w:rPr>
                <w:b/>
                <w:bCs/>
                <w:sz w:val="22"/>
                <w:szCs w:val="22"/>
              </w:rPr>
              <w:t xml:space="preserve"> gyakorlat</w:t>
            </w:r>
            <w:r w:rsidRPr="00C76BFC">
              <w:rPr>
                <w:sz w:val="22"/>
                <w:szCs w:val="22"/>
              </w:rPr>
              <w:t xml:space="preserve">   száma: </w:t>
            </w:r>
            <w:r w:rsidR="00BC5AF7" w:rsidRPr="00BC5AF7">
              <w:rPr>
                <w:b/>
                <w:bCs/>
                <w:sz w:val="22"/>
                <w:szCs w:val="22"/>
              </w:rPr>
              <w:t>12 óra/félév</w:t>
            </w:r>
            <w:bookmarkStart w:id="0" w:name="_GoBack"/>
            <w:bookmarkEnd w:id="0"/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C76BFC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számonkérés módja: </w:t>
            </w:r>
            <w:r w:rsidRPr="00C76BFC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akorati jegy</w:t>
            </w:r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tantárgy tantervi helye: </w:t>
            </w:r>
            <w:r w:rsidRPr="00C76BFC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Előtanulmányi feltétele:</w:t>
            </w:r>
            <w:r w:rsidRPr="00C76BFC">
              <w:rPr>
                <w:i/>
                <w:iCs/>
                <w:sz w:val="22"/>
                <w:szCs w:val="22"/>
              </w:rPr>
              <w:t xml:space="preserve"> </w:t>
            </w:r>
            <w:r w:rsidRPr="00C76BFC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C76BFC" w:rsidRPr="00C76BF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Tantárgyleírás</w:t>
            </w:r>
            <w:r w:rsidRPr="00C76BFC">
              <w:rPr>
                <w:sz w:val="22"/>
                <w:szCs w:val="22"/>
              </w:rPr>
              <w:t xml:space="preserve">: </w:t>
            </w:r>
          </w:p>
        </w:tc>
      </w:tr>
      <w:tr w:rsidR="00C76BFC" w:rsidRPr="00C76BF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A kurzus célja: </w:t>
            </w:r>
            <w:r w:rsidRPr="00C76BFC">
              <w:rPr>
                <w:sz w:val="22"/>
                <w:szCs w:val="22"/>
              </w:rPr>
              <w:t>A nevelés-oktatás feladatának elsajátítása az adott területen, miszerint a nevelés és oktatás peciális eszközeivel segítsen kialakítani egy olyan etikai, érték- és cselekvési rendszert, amely figyelmet fordít a kulturális identitásra, a demokratikus döntéshozatalra, a természet értékeire és a természeti erőforrások megfelelő felhasználásra és kezelésére.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A kurzus rövid tartalma: </w:t>
            </w:r>
            <w:r w:rsidRPr="00C76BFC">
              <w:rPr>
                <w:sz w:val="22"/>
                <w:szCs w:val="22"/>
              </w:rPr>
              <w:t>A tanulás-tanítás a fenntartható fejlődés érdekében: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fenntartható fejlődés és a kockázatok tudatosításának jellemzői I.: Integrálás az oktatási rendszerekbe, speciális képzési programok kidolgozása, megújult pedagógiai módszerek. 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és a kockázatok tudatosításának jellemzői II.: Értékközpontúság, a jelen és a jövő generáció tisztelete, a kritikus gondolkodás bátorítása, a problémamegoldás ösztönzése,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és a kockázatok tudatosításának jellemzői III.: A társadalom minden rétegére kiterjed,</w:t>
            </w:r>
            <w:r w:rsidRPr="00C76BFC" w:rsidDel="00B97CAB">
              <w:rPr>
                <w:sz w:val="22"/>
                <w:szCs w:val="22"/>
              </w:rPr>
              <w:t xml:space="preserve"> </w:t>
            </w:r>
            <w:r w:rsidRPr="00C76BFC">
              <w:rPr>
                <w:sz w:val="22"/>
                <w:szCs w:val="22"/>
              </w:rPr>
              <w:t xml:space="preserve">gyakorlati alkalmazhatóság a mindennapi életben, a képzésben részt vevők aktivitása, helyi és globális ügyekkel való foglalkozás 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feltételei I.: A fenntartható fejlődés befogadására alkalmas, azt igénylő, politika, kormányzás, oktatáspolitika A fenntarthatósággal kapcsolatos tudományos ismeretek, szaktudományos háttér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feltételei II.: A fenntarthatóság pedagógiájával kapcsolatos neveléstudományi ismeretek, módszertani alapok, Az ismeretek befogadására, alkalmazására képes társadalmi bázis, Az ismeretek széleskörű terjesztésére alkalmas korszerű info-kommunikációs technikai háttér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tudatosításának mdszerei: Holisztikus, interdiszciplináris megközelítés, Képességfejlesztés (kritikai és kreatív gondolkodás, állampolgári részvétel, együttműködés, konfliktuskezelés); Kompetenciafejlesztés, Az alapoktatás színvonalának javítása, Az oktatás intézményesített és szabad formái színvonalának javítása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tudatosításának ütemezése: Rövidtávon: (a fenntarthatóság társadalmi szintű megértését elősegítő folyamat elindítása, a fenntarthatóság folytonos napirenden tartása; A fenntarthatóság "mérőszámainak" (indikátorainak) kidolgozása) Középtávon: (a társadalom jelentős része értse a fenntarthatóság jelentését, s igényelje a fenntartható társadalmat) Hosszútávon: (a fenntartható társadalom kulturális és strukturális kereteinek megteremtése, a fenntarthatóság feltételeinek teljesülése és megvalósítása)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A kurzus által megszerezhető kompetenciák:</w:t>
            </w:r>
          </w:p>
          <w:p w:rsidR="00C76BFC" w:rsidRPr="00C76BFC" w:rsidRDefault="00C76BFC" w:rsidP="007F43AB">
            <w:p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Olyan készségek elsajátítása, amely a fenntarthatóság pedagógiájának eszközeivel hozzájárulnak ahhoz, hogy a társadalom tagjai megismerjék, és ezáltal követhessék a fenntartható fejlődés elveit, koncepcióját, gyakorlati megvalósításának lehetőségeit. A fenntartható fejlődést szolgáló oktatásra úgy tekinthetünk, mint egy folyamatra, melynek során megtanulunk olyan személyes döntéseket hozni, és úgy bekapcsolódni a társadalmi döntéshozatali folyamatokba, hogy döntéseink elősegítsék a jelen és a jövő generációinak jólétét, miközben nem veszélyeztetik a földi ökoszisztémák működőképességét. A fentiekből következik, hogy </w:t>
            </w:r>
            <w:r w:rsidRPr="00C76BFC">
              <w:rPr>
                <w:i/>
                <w:iCs/>
                <w:sz w:val="22"/>
                <w:szCs w:val="22"/>
              </w:rPr>
              <w:t>a társadalom minden rétegében szükség van</w:t>
            </w:r>
            <w:r w:rsidRPr="00C76BFC">
              <w:rPr>
                <w:sz w:val="22"/>
                <w:szCs w:val="22"/>
              </w:rPr>
              <w:t xml:space="preserve"> a fenntarthatóság elveinek és gyakorlatának elsajátítására: a </w:t>
            </w:r>
            <w:r w:rsidRPr="00C76BFC">
              <w:rPr>
                <w:i/>
                <w:iCs/>
                <w:sz w:val="22"/>
                <w:szCs w:val="22"/>
              </w:rPr>
              <w:t>fenntarthatóságra nevelésre</w:t>
            </w:r>
            <w:r w:rsidRPr="00C76BFC">
              <w:rPr>
                <w:sz w:val="22"/>
                <w:szCs w:val="22"/>
              </w:rPr>
              <w:t>.</w:t>
            </w:r>
          </w:p>
        </w:tc>
      </w:tr>
      <w:tr w:rsidR="00C76BFC" w:rsidRPr="00C76BF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</w:t>
            </w:r>
            <w:r w:rsidRPr="00C76BFC">
              <w:rPr>
                <w:b/>
                <w:bCs/>
                <w:sz w:val="22"/>
                <w:szCs w:val="22"/>
              </w:rPr>
              <w:t>3-5</w:t>
            </w:r>
            <w:r w:rsidRPr="00C76BFC">
              <w:rPr>
                <w:sz w:val="22"/>
                <w:szCs w:val="22"/>
              </w:rPr>
              <w:t xml:space="preserve"> legfontosabb </w:t>
            </w:r>
            <w:r w:rsidRPr="00C76BFC">
              <w:rPr>
                <w:i/>
                <w:iCs/>
                <w:sz w:val="22"/>
                <w:szCs w:val="22"/>
              </w:rPr>
              <w:t>kötelező,</w:t>
            </w:r>
            <w:r w:rsidRPr="00C76BFC">
              <w:rPr>
                <w:sz w:val="22"/>
                <w:szCs w:val="22"/>
              </w:rPr>
              <w:t xml:space="preserve"> illetve </w:t>
            </w:r>
            <w:r w:rsidRPr="00C76BFC">
              <w:rPr>
                <w:i/>
                <w:iCs/>
                <w:sz w:val="22"/>
                <w:szCs w:val="22"/>
              </w:rPr>
              <w:t>ajánlott</w:t>
            </w:r>
            <w:r w:rsidRPr="00C76B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76BFC">
              <w:rPr>
                <w:b/>
                <w:bCs/>
                <w:sz w:val="22"/>
                <w:szCs w:val="22"/>
              </w:rPr>
              <w:t xml:space="preserve">irodalom </w:t>
            </w:r>
            <w:r w:rsidRPr="00C76BFC">
              <w:rPr>
                <w:sz w:val="22"/>
                <w:szCs w:val="22"/>
              </w:rPr>
              <w:t>(jegyzet, tankönyv) felsorolása biblio</w:t>
            </w:r>
            <w:r w:rsidRPr="00C76BFC">
              <w:rPr>
                <w:sz w:val="22"/>
                <w:szCs w:val="22"/>
              </w:rPr>
              <w:softHyphen/>
              <w:t xml:space="preserve">gráfiai </w:t>
            </w:r>
            <w:r w:rsidRPr="00C76BFC">
              <w:rPr>
                <w:sz w:val="22"/>
                <w:szCs w:val="22"/>
              </w:rPr>
              <w:lastRenderedPageBreak/>
              <w:t>adatokkal (szerző, cím, kiadás adatai, oldalak, ISBN)</w:t>
            </w:r>
          </w:p>
        </w:tc>
      </w:tr>
      <w:tr w:rsidR="00C76BFC" w:rsidRPr="00C76BF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76BFC" w:rsidRPr="00C76BFC" w:rsidRDefault="00C76BFC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lastRenderedPageBreak/>
              <w:t>Kötelező Irodalom: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BRUNDTLAND, G. H. ET AL.(1988): </w:t>
            </w:r>
            <w:r w:rsidRPr="00C76BFC">
              <w:rPr>
                <w:i/>
                <w:iCs/>
                <w:sz w:val="22"/>
                <w:szCs w:val="22"/>
              </w:rPr>
              <w:t>Közös Jövőnk</w:t>
            </w:r>
            <w:r w:rsidRPr="00C76BFC">
              <w:rPr>
                <w:sz w:val="22"/>
                <w:szCs w:val="22"/>
              </w:rPr>
              <w:t xml:space="preserve">. Mezőgazdasági Kiadó, p.404 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Education for Sustanable Development Toolkit. UNESCO, paris, 2006. pp.1-131.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caps/>
                <w:sz w:val="22"/>
                <w:szCs w:val="22"/>
              </w:rPr>
              <w:t>Rakonczai János (2008):</w:t>
            </w:r>
            <w:r w:rsidRPr="00C76BFC">
              <w:rPr>
                <w:sz w:val="22"/>
                <w:szCs w:val="22"/>
              </w:rPr>
              <w:t xml:space="preserve"> Globális környezeti kihívásaink. Universitas Szeged Kiadó, Szeged, pp. 1-204.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caps/>
                <w:sz w:val="22"/>
                <w:szCs w:val="22"/>
              </w:rPr>
              <w:t>Kárász I.</w:t>
            </w:r>
            <w:r w:rsidRPr="00C76BFC">
              <w:rPr>
                <w:sz w:val="22"/>
                <w:szCs w:val="22"/>
              </w:rPr>
              <w:t xml:space="preserve"> (2007): A fenntarthatóságra oktatás-nevelés gyakorlata – egri példák. Tűzliliom Egyesület, Eger, pp. 1-55.</w:t>
            </w:r>
          </w:p>
          <w:p w:rsidR="00C76BFC" w:rsidRPr="00C76BFC" w:rsidRDefault="00C76BFC" w:rsidP="007F43AB">
            <w:pPr>
              <w:tabs>
                <w:tab w:val="num" w:pos="284"/>
              </w:tabs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Ajánlott irodalom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i/>
                <w:iCs/>
                <w:sz w:val="22"/>
                <w:szCs w:val="22"/>
              </w:rPr>
              <w:t xml:space="preserve">Nemzeti Fenntartható Fejlődési Stratégia </w:t>
            </w:r>
            <w:hyperlink r:id="rId9" w:history="1">
              <w:r w:rsidRPr="00C76BFC">
                <w:rPr>
                  <w:rStyle w:val="Hiperhivatkozs"/>
                  <w:sz w:val="22"/>
                  <w:szCs w:val="22"/>
                </w:rPr>
                <w:t>http://www.nfft.hu/dynamic/nemzeti_fenntarthato_fejlodesi_strategia.pdf</w:t>
              </w:r>
            </w:hyperlink>
            <w:r w:rsidRPr="00C76BFC">
              <w:rPr>
                <w:sz w:val="22"/>
                <w:szCs w:val="22"/>
              </w:rPr>
              <w:t xml:space="preserve"> (2010.09.15.)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Guidelines and Recommendations for Reorienting Teacher Education to Adress Sustanability. UNESCO, Paris, 2005. pp 1-74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caps/>
                <w:sz w:val="22"/>
                <w:szCs w:val="22"/>
              </w:rPr>
              <w:t>Gyulai Iván (2008):</w:t>
            </w:r>
            <w:r w:rsidRPr="00C76BFC">
              <w:rPr>
                <w:sz w:val="22"/>
                <w:szCs w:val="22"/>
              </w:rPr>
              <w:t xml:space="preserve"> </w:t>
            </w:r>
            <w:r w:rsidRPr="00C76BFC">
              <w:rPr>
                <w:i/>
                <w:iCs/>
                <w:sz w:val="22"/>
                <w:szCs w:val="22"/>
              </w:rPr>
              <w:t>Kérdések és válaszok a fenntartható fejlődésről</w:t>
            </w:r>
            <w:r w:rsidRPr="00C76BFC">
              <w:rPr>
                <w:sz w:val="22"/>
                <w:szCs w:val="22"/>
              </w:rPr>
              <w:t>, Magyar természetvédők Szövetsége, Budapest, ISBN 978-963-9802-03-2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HONTELEZ, J.; MOLIN, K., (2001): </w:t>
            </w:r>
            <w:r w:rsidRPr="00C76BFC">
              <w:rPr>
                <w:i/>
                <w:iCs/>
                <w:sz w:val="22"/>
                <w:szCs w:val="22"/>
              </w:rPr>
              <w:t>Az Európai Unió elkötelezettsége a fenntartható fejlődésért</w:t>
            </w:r>
            <w:r w:rsidRPr="00C76BFC">
              <w:rPr>
                <w:sz w:val="22"/>
                <w:szCs w:val="22"/>
              </w:rPr>
              <w:t xml:space="preserve">. Magyar nyelvű kiadása: Magyar Természetvédők Szövetsége, Budapest 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Az Európai Unió Fenntartható Fejlődési Stratégiája</w:t>
            </w:r>
          </w:p>
          <w:p w:rsidR="00C76BFC" w:rsidRPr="00C76BFC" w:rsidRDefault="002A01D1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hyperlink r:id="rId10" w:history="1">
              <w:r w:rsidR="00C76BFC" w:rsidRPr="00C76BFC">
                <w:rPr>
                  <w:rStyle w:val="Hiperhivatkozs"/>
                  <w:sz w:val="22"/>
                  <w:szCs w:val="22"/>
                </w:rPr>
                <w:t>http://register.consilium.europa.eu/pdf/en/06/st10/st10917.en06.pdf</w:t>
              </w:r>
            </w:hyperlink>
            <w:r w:rsidR="00C76BFC" w:rsidRPr="00C76BFC">
              <w:rPr>
                <w:sz w:val="22"/>
                <w:szCs w:val="22"/>
              </w:rPr>
              <w:t xml:space="preserve"> (2010-09-15)</w:t>
            </w:r>
          </w:p>
        </w:tc>
      </w:tr>
      <w:tr w:rsidR="00C76BFC" w:rsidRPr="00C76BF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C76BFC">
              <w:rPr>
                <w:sz w:val="22"/>
                <w:szCs w:val="22"/>
              </w:rPr>
              <w:t>(</w:t>
            </w:r>
            <w:r w:rsidRPr="00C76BFC">
              <w:rPr>
                <w:i/>
                <w:iCs/>
                <w:sz w:val="22"/>
                <w:szCs w:val="22"/>
              </w:rPr>
              <w:t>név, beosztás, tud. fokozat</w:t>
            </w:r>
            <w:r w:rsidRPr="00C76BFC">
              <w:rPr>
                <w:sz w:val="22"/>
                <w:szCs w:val="22"/>
              </w:rPr>
              <w:t>)</w:t>
            </w:r>
            <w:r w:rsidRPr="00C76BFC">
              <w:rPr>
                <w:b/>
                <w:bCs/>
                <w:sz w:val="22"/>
                <w:szCs w:val="22"/>
              </w:rPr>
              <w:t>:</w:t>
            </w:r>
            <w:r w:rsidRPr="00C76BFC">
              <w:rPr>
                <w:i/>
                <w:iCs/>
                <w:sz w:val="22"/>
                <w:szCs w:val="22"/>
              </w:rPr>
              <w:t xml:space="preserve"> </w:t>
            </w:r>
            <w:r w:rsidRPr="00C76BFC">
              <w:rPr>
                <w:b/>
                <w:bCs/>
                <w:sz w:val="22"/>
                <w:szCs w:val="22"/>
              </w:rPr>
              <w:t>Dr. Pajtókné dr. Tari Ilona, főiskolai docens</w:t>
            </w:r>
          </w:p>
        </w:tc>
      </w:tr>
      <w:tr w:rsidR="00C76BFC" w:rsidRPr="00C65DB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Tantárgy oktatásába bevont oktató(k), </w:t>
            </w:r>
            <w:r w:rsidRPr="00C76BFC">
              <w:rPr>
                <w:sz w:val="22"/>
                <w:szCs w:val="22"/>
              </w:rPr>
              <w:t>ha vannak</w:t>
            </w:r>
            <w:r w:rsidRPr="00C76BFC">
              <w:rPr>
                <w:b/>
                <w:bCs/>
                <w:sz w:val="22"/>
                <w:szCs w:val="22"/>
              </w:rPr>
              <w:t xml:space="preserve"> </w:t>
            </w:r>
            <w:r w:rsidRPr="00C76BFC">
              <w:rPr>
                <w:sz w:val="22"/>
                <w:szCs w:val="22"/>
              </w:rPr>
              <w:t>(</w:t>
            </w:r>
            <w:r w:rsidRPr="00C76BFC">
              <w:rPr>
                <w:i/>
                <w:iCs/>
                <w:sz w:val="22"/>
                <w:szCs w:val="22"/>
              </w:rPr>
              <w:t>név, beosztás, tud. fokozat</w:t>
            </w:r>
            <w:r w:rsidRPr="00C76BFC">
              <w:rPr>
                <w:sz w:val="22"/>
                <w:szCs w:val="22"/>
              </w:rPr>
              <w:t>)</w:t>
            </w:r>
            <w:r w:rsidRPr="00C76BFC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9F0158" w:rsidRDefault="002A01D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D1" w:rsidRDefault="002A01D1" w:rsidP="00F44A28">
      <w:r>
        <w:separator/>
      </w:r>
    </w:p>
  </w:endnote>
  <w:endnote w:type="continuationSeparator" w:id="0">
    <w:p w:rsidR="002A01D1" w:rsidRDefault="002A01D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D1" w:rsidRDefault="002A01D1" w:rsidP="00F44A28">
      <w:r>
        <w:separator/>
      </w:r>
    </w:p>
  </w:footnote>
  <w:footnote w:type="continuationSeparator" w:id="0">
    <w:p w:rsidR="002A01D1" w:rsidRDefault="002A01D1" w:rsidP="00F44A28">
      <w:r>
        <w:continuationSeparator/>
      </w:r>
    </w:p>
  </w:footnote>
  <w:footnote w:id="1">
    <w:p w:rsidR="00C76BFC" w:rsidRDefault="00C76BFC" w:rsidP="00C76BF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4"/>
  </w:num>
  <w:num w:numId="22">
    <w:abstractNumId w:val="4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2A01D1"/>
    <w:rsid w:val="003505C3"/>
    <w:rsid w:val="003810BF"/>
    <w:rsid w:val="0038424A"/>
    <w:rsid w:val="0038608D"/>
    <w:rsid w:val="003D7A3D"/>
    <w:rsid w:val="00406833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46DEE"/>
    <w:rsid w:val="00881389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B05A67"/>
    <w:rsid w:val="00B704C5"/>
    <w:rsid w:val="00B80149"/>
    <w:rsid w:val="00BB75D6"/>
    <w:rsid w:val="00BC5AF7"/>
    <w:rsid w:val="00BC79C0"/>
    <w:rsid w:val="00C008EC"/>
    <w:rsid w:val="00C22648"/>
    <w:rsid w:val="00C76BFC"/>
    <w:rsid w:val="00D11CF4"/>
    <w:rsid w:val="00D61CCF"/>
    <w:rsid w:val="00DA7902"/>
    <w:rsid w:val="00DC26F2"/>
    <w:rsid w:val="00E1252E"/>
    <w:rsid w:val="00E13E5F"/>
    <w:rsid w:val="00E576DC"/>
    <w:rsid w:val="00EB1871"/>
    <w:rsid w:val="00EB7D96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ister.consilium.europa.eu/pdf/en/06/st10/st10917.en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fft.hu/dynamic/nemzeti_fenntarthato_fejlodesi_strategi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DC6A-6DA3-4744-957B-A727AB82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2012-01-27T20:01:00Z</dcterms:created>
  <dcterms:modified xsi:type="dcterms:W3CDTF">2012-07-09T11:49:00Z</dcterms:modified>
</cp:coreProperties>
</file>