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3752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752C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5E705D">
              <w:rPr>
                <w:bCs/>
                <w:sz w:val="24"/>
              </w:rPr>
              <w:t>Az angol gótikus regény változatai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C" w:rsidRPr="00A35237" w:rsidRDefault="0053752C" w:rsidP="000E65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15C42">
              <w:rPr>
                <w:sz w:val="24"/>
                <w:szCs w:val="24"/>
              </w:rPr>
              <w:t>AN217G2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>2</w:t>
            </w:r>
          </w:p>
        </w:tc>
      </w:tr>
      <w:tr w:rsidR="0053752C" w:rsidRPr="00A35237" w:rsidTr="00C66463">
        <w:tc>
          <w:tcPr>
            <w:tcW w:w="9180" w:type="dxa"/>
            <w:gridSpan w:val="3"/>
          </w:tcPr>
          <w:p w:rsidR="0053752C" w:rsidRPr="00E15C42" w:rsidRDefault="0053752C" w:rsidP="000E654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A tanóra </w:t>
            </w:r>
            <w:proofErr w:type="gramStart"/>
            <w:r w:rsidRPr="00E15C42">
              <w:rPr>
                <w:sz w:val="24"/>
                <w:szCs w:val="24"/>
              </w:rPr>
              <w:t>típusa</w:t>
            </w:r>
            <w:r w:rsidRPr="00E15C42">
              <w:rPr>
                <w:rStyle w:val="Lbjegyzet-hivatkozs"/>
                <w:sz w:val="24"/>
                <w:szCs w:val="24"/>
              </w:rPr>
              <w:footnoteReference w:id="1"/>
            </w:r>
            <w:r w:rsidRPr="00E15C42">
              <w:rPr>
                <w:sz w:val="24"/>
                <w:szCs w:val="24"/>
              </w:rPr>
              <w:t>:</w:t>
            </w:r>
            <w:proofErr w:type="gramEnd"/>
            <w:r w:rsidRPr="00E15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15C4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3752C" w:rsidRPr="00A35237" w:rsidTr="00C66463">
        <w:tc>
          <w:tcPr>
            <w:tcW w:w="9180" w:type="dxa"/>
            <w:gridSpan w:val="3"/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számonkérés módja (</w:t>
            </w:r>
            <w:proofErr w:type="spellStart"/>
            <w:r w:rsidRPr="00E15C42">
              <w:rPr>
                <w:sz w:val="24"/>
                <w:szCs w:val="24"/>
              </w:rPr>
              <w:t>koll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spellStart"/>
            <w:r w:rsidRPr="00E15C42">
              <w:rPr>
                <w:sz w:val="24"/>
                <w:szCs w:val="24"/>
              </w:rPr>
              <w:t>gyj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gramStart"/>
            <w:r w:rsidRPr="00E15C42">
              <w:rPr>
                <w:sz w:val="24"/>
                <w:szCs w:val="24"/>
              </w:rPr>
              <w:t>egyéb</w:t>
            </w:r>
            <w:r w:rsidRPr="00E15C42">
              <w:rPr>
                <w:rStyle w:val="Lbjegyzet-hivatkozs"/>
                <w:sz w:val="24"/>
                <w:szCs w:val="24"/>
              </w:rPr>
              <w:footnoteReference w:id="2"/>
            </w:r>
            <w:r w:rsidRPr="00E15C42">
              <w:rPr>
                <w:sz w:val="24"/>
                <w:szCs w:val="24"/>
              </w:rPr>
              <w:t>)</w:t>
            </w:r>
            <w:proofErr w:type="gramEnd"/>
            <w:r w:rsidRPr="00E15C42">
              <w:rPr>
                <w:sz w:val="24"/>
                <w:szCs w:val="24"/>
              </w:rPr>
              <w:t>: gyakorlati jegy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Előtanulmányi feltételek </w:t>
            </w:r>
            <w:r w:rsidRPr="00E15C42">
              <w:rPr>
                <w:i/>
                <w:sz w:val="24"/>
                <w:szCs w:val="24"/>
              </w:rPr>
              <w:t>(ha vannak)</w:t>
            </w:r>
            <w:r w:rsidRPr="00E15C42">
              <w:rPr>
                <w:sz w:val="24"/>
                <w:szCs w:val="24"/>
              </w:rPr>
              <w:t>:</w:t>
            </w:r>
            <w:r w:rsidRPr="00E15C4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3752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752C" w:rsidRPr="004B0C55" w:rsidRDefault="0053752C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angol</w:t>
            </w:r>
          </w:p>
          <w:p w:rsidR="0053752C" w:rsidRDefault="0053752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3752C" w:rsidRPr="00A35237" w:rsidRDefault="0053752C" w:rsidP="00C66463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9724E6">
              <w:rPr>
                <w:sz w:val="24"/>
                <w:szCs w:val="24"/>
              </w:rPr>
              <w:t>A kurzus az angol gótikus regény történeti változatait követi nyomon a műfaj XVIII. századi megjelenésétől (</w:t>
            </w:r>
            <w:proofErr w:type="spellStart"/>
            <w:r w:rsidRPr="009724E6">
              <w:rPr>
                <w:sz w:val="24"/>
                <w:szCs w:val="24"/>
              </w:rPr>
              <w:t>Horace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Walpole</w:t>
            </w:r>
            <w:proofErr w:type="spellEnd"/>
            <w:r w:rsidRPr="009724E6">
              <w:rPr>
                <w:sz w:val="24"/>
                <w:szCs w:val="24"/>
              </w:rPr>
              <w:t>) a XIX. században elhíresült alkotásokon keresztül (</w:t>
            </w:r>
            <w:proofErr w:type="spellStart"/>
            <w:r w:rsidRPr="009724E6">
              <w:rPr>
                <w:sz w:val="24"/>
                <w:szCs w:val="24"/>
              </w:rPr>
              <w:t>Sheridan</w:t>
            </w:r>
            <w:proofErr w:type="spellEnd"/>
            <w:r w:rsidRPr="009724E6">
              <w:rPr>
                <w:sz w:val="24"/>
                <w:szCs w:val="24"/>
              </w:rPr>
              <w:t xml:space="preserve"> le </w:t>
            </w:r>
            <w:proofErr w:type="spellStart"/>
            <w:r w:rsidRPr="009724E6">
              <w:rPr>
                <w:sz w:val="24"/>
                <w:szCs w:val="24"/>
              </w:rPr>
              <w:t>Fanu</w:t>
            </w:r>
            <w:proofErr w:type="spellEnd"/>
            <w:r w:rsidRPr="009724E6">
              <w:rPr>
                <w:sz w:val="24"/>
                <w:szCs w:val="24"/>
              </w:rPr>
              <w:t xml:space="preserve">, R. L. </w:t>
            </w:r>
            <w:proofErr w:type="spellStart"/>
            <w:r w:rsidRPr="009724E6">
              <w:rPr>
                <w:sz w:val="24"/>
                <w:szCs w:val="24"/>
              </w:rPr>
              <w:t>Stevenson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proofErr w:type="spellStart"/>
            <w:r w:rsidRPr="009724E6">
              <w:rPr>
                <w:sz w:val="24"/>
                <w:szCs w:val="24"/>
              </w:rPr>
              <w:t>Bram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Stoker</w:t>
            </w:r>
            <w:proofErr w:type="spellEnd"/>
            <w:r w:rsidRPr="009724E6">
              <w:rPr>
                <w:sz w:val="24"/>
                <w:szCs w:val="24"/>
              </w:rPr>
              <w:t>) a XX. század végéig (</w:t>
            </w:r>
            <w:proofErr w:type="spellStart"/>
            <w:r w:rsidRPr="009724E6">
              <w:rPr>
                <w:sz w:val="24"/>
                <w:szCs w:val="24"/>
              </w:rPr>
              <w:t>Angela</w:t>
            </w:r>
            <w:proofErr w:type="spellEnd"/>
            <w:r w:rsidRPr="009724E6">
              <w:rPr>
                <w:sz w:val="24"/>
                <w:szCs w:val="24"/>
              </w:rPr>
              <w:t xml:space="preserve"> Carter, </w:t>
            </w:r>
            <w:proofErr w:type="spellStart"/>
            <w:r w:rsidRPr="009724E6">
              <w:rPr>
                <w:sz w:val="24"/>
                <w:szCs w:val="24"/>
              </w:rPr>
              <w:t>Doris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Emma </w:t>
            </w:r>
            <w:proofErr w:type="spellStart"/>
            <w:r>
              <w:rPr>
                <w:sz w:val="24"/>
                <w:szCs w:val="24"/>
              </w:rPr>
              <w:t>Tennant</w:t>
            </w:r>
            <w:proofErr w:type="spellEnd"/>
            <w:r w:rsidRPr="009724E6">
              <w:rPr>
                <w:sz w:val="24"/>
                <w:szCs w:val="24"/>
              </w:rPr>
              <w:t>). A műfaj poétikai sajátosságainak feltérképezése mellett célja a gótikus regény pszichoanalitikus megközelítéseinek és az azokhoz kapcsolódó kulcsfogalmaknak – mint például a kísértetiesnek</w:t>
            </w:r>
            <w:r>
              <w:rPr>
                <w:sz w:val="24"/>
                <w:szCs w:val="24"/>
              </w:rPr>
              <w:t>, a hasonmásnak</w:t>
            </w:r>
            <w:r w:rsidRPr="009724E6">
              <w:rPr>
                <w:sz w:val="24"/>
                <w:szCs w:val="24"/>
              </w:rPr>
              <w:t xml:space="preserve"> és az </w:t>
            </w:r>
            <w:proofErr w:type="spellStart"/>
            <w:r w:rsidRPr="009724E6">
              <w:rPr>
                <w:sz w:val="24"/>
                <w:szCs w:val="24"/>
              </w:rPr>
              <w:t>abjektnek</w:t>
            </w:r>
            <w:proofErr w:type="spellEnd"/>
            <w:r w:rsidRPr="009724E6">
              <w:rPr>
                <w:sz w:val="24"/>
                <w:szCs w:val="24"/>
              </w:rPr>
              <w:t xml:space="preserve"> – a megismertetése. Mivel a műfaj megjelenése óta jelentős szerepet játszik az angol írónők alkotásaiban és életművében</w:t>
            </w:r>
            <w:r>
              <w:rPr>
                <w:sz w:val="24"/>
                <w:szCs w:val="24"/>
              </w:rPr>
              <w:t xml:space="preserve"> (Jane Austen, Mary Shelley, a </w:t>
            </w:r>
            <w:proofErr w:type="spellStart"/>
            <w:r>
              <w:rPr>
                <w:sz w:val="24"/>
                <w:szCs w:val="24"/>
              </w:rPr>
              <w:t>Brontë</w:t>
            </w:r>
            <w:proofErr w:type="spellEnd"/>
            <w:r>
              <w:rPr>
                <w:sz w:val="24"/>
                <w:szCs w:val="24"/>
              </w:rPr>
              <w:t xml:space="preserve"> nővérek)</w:t>
            </w:r>
            <w:r w:rsidRPr="009724E6">
              <w:rPr>
                <w:sz w:val="24"/>
                <w:szCs w:val="24"/>
              </w:rPr>
              <w:t xml:space="preserve">, a kurzus betekintést enged a női szövegek gyakran </w:t>
            </w:r>
            <w:proofErr w:type="spellStart"/>
            <w:r w:rsidRPr="009724E6">
              <w:rPr>
                <w:sz w:val="24"/>
                <w:szCs w:val="24"/>
              </w:rPr>
              <w:t>szubverzív</w:t>
            </w:r>
            <w:proofErr w:type="spellEnd"/>
            <w:r w:rsidRPr="009724E6">
              <w:rPr>
                <w:sz w:val="24"/>
                <w:szCs w:val="24"/>
              </w:rPr>
              <w:t xml:space="preserve"> világába, illetve alapvetően </w:t>
            </w:r>
            <w:proofErr w:type="spellStart"/>
            <w:r w:rsidRPr="009724E6">
              <w:rPr>
                <w:sz w:val="24"/>
                <w:szCs w:val="24"/>
              </w:rPr>
              <w:t>dekonstruktív</w:t>
            </w:r>
            <w:proofErr w:type="spellEnd"/>
            <w:r w:rsidRPr="009724E6">
              <w:rPr>
                <w:sz w:val="24"/>
                <w:szCs w:val="24"/>
              </w:rPr>
              <w:t xml:space="preserve"> feminista olvasási módokat is integrál.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752C" w:rsidRDefault="0053752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724E6">
              <w:rPr>
                <w:sz w:val="24"/>
                <w:szCs w:val="24"/>
              </w:rPr>
              <w:t>Bókay</w:t>
            </w:r>
            <w:proofErr w:type="spellEnd"/>
            <w:r w:rsidRPr="009724E6">
              <w:rPr>
                <w:sz w:val="24"/>
                <w:szCs w:val="24"/>
              </w:rPr>
              <w:t xml:space="preserve"> Antal és Erős Ferenc, szerk.,</w:t>
            </w:r>
            <w:r w:rsidRPr="009724E6">
              <w:rPr>
                <w:i/>
                <w:sz w:val="24"/>
                <w:szCs w:val="24"/>
              </w:rPr>
              <w:t xml:space="preserve"> Pszichoanalízis és irodalomtudomány – Szöveggyűjtemény.</w:t>
            </w:r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Filum</w:t>
            </w:r>
            <w:proofErr w:type="spellEnd"/>
            <w:r w:rsidRPr="009724E6">
              <w:rPr>
                <w:sz w:val="24"/>
                <w:szCs w:val="24"/>
              </w:rPr>
              <w:t>, Budapest, 1998.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9724E6">
              <w:rPr>
                <w:sz w:val="24"/>
                <w:szCs w:val="24"/>
                <w:lang w:val="en-GB"/>
              </w:rPr>
              <w:t>Botting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Fred, </w:t>
            </w:r>
            <w:r w:rsidRPr="009724E6">
              <w:rPr>
                <w:i/>
                <w:sz w:val="24"/>
                <w:szCs w:val="24"/>
                <w:lang w:val="en-GB"/>
              </w:rPr>
              <w:t>Gothic.</w:t>
            </w:r>
            <w:r w:rsidRPr="009724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  <w:lang w:val="en-GB"/>
              </w:rPr>
              <w:t>Routledge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724E6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724E6">
              <w:rPr>
                <w:sz w:val="24"/>
                <w:szCs w:val="24"/>
                <w:lang w:val="en-GB"/>
              </w:rPr>
              <w:t>, 1996.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724E6">
              <w:rPr>
                <w:sz w:val="24"/>
                <w:szCs w:val="24"/>
              </w:rPr>
              <w:t>Kristeva</w:t>
            </w:r>
            <w:proofErr w:type="spellEnd"/>
            <w:r w:rsidRPr="009724E6">
              <w:rPr>
                <w:sz w:val="24"/>
                <w:szCs w:val="24"/>
              </w:rPr>
              <w:t xml:space="preserve">, Julia, </w:t>
            </w:r>
            <w:proofErr w:type="spellStart"/>
            <w:r w:rsidRPr="009724E6">
              <w:rPr>
                <w:i/>
                <w:sz w:val="24"/>
                <w:szCs w:val="24"/>
              </w:rPr>
              <w:t>Powers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of Horror – An </w:t>
            </w:r>
            <w:proofErr w:type="spellStart"/>
            <w:r w:rsidRPr="009724E6">
              <w:rPr>
                <w:i/>
                <w:sz w:val="24"/>
                <w:szCs w:val="24"/>
              </w:rPr>
              <w:t>Essay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i/>
                <w:sz w:val="24"/>
                <w:szCs w:val="24"/>
              </w:rPr>
              <w:t>on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i/>
                <w:sz w:val="24"/>
                <w:szCs w:val="24"/>
              </w:rPr>
              <w:t>Abjection</w:t>
            </w:r>
            <w:proofErr w:type="spellEnd"/>
            <w:r w:rsidRPr="009724E6">
              <w:rPr>
                <w:sz w:val="24"/>
                <w:szCs w:val="24"/>
              </w:rPr>
              <w:t xml:space="preserve">. Ford. Leon S. </w:t>
            </w:r>
            <w:proofErr w:type="spellStart"/>
            <w:r w:rsidRPr="009724E6">
              <w:rPr>
                <w:sz w:val="24"/>
                <w:szCs w:val="24"/>
              </w:rPr>
              <w:t>Roudiez</w:t>
            </w:r>
            <w:proofErr w:type="spellEnd"/>
            <w:r w:rsidRPr="009724E6">
              <w:rPr>
                <w:sz w:val="24"/>
                <w:szCs w:val="24"/>
              </w:rPr>
              <w:t>. Columbia UP, New York, 1982.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9724E6">
              <w:rPr>
                <w:sz w:val="24"/>
                <w:szCs w:val="24"/>
                <w:lang w:val="en-GB"/>
              </w:rPr>
              <w:t>Modleski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Tania. </w:t>
            </w:r>
            <w:r w:rsidRPr="009724E6">
              <w:rPr>
                <w:i/>
                <w:sz w:val="24"/>
                <w:szCs w:val="24"/>
                <w:lang w:val="en-GB"/>
              </w:rPr>
              <w:t>Loving with a Vengeance: Mass-Produced Fantasies for Women</w:t>
            </w:r>
            <w:r w:rsidRPr="009724E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9724E6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9724E6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724E6">
              <w:rPr>
                <w:sz w:val="24"/>
                <w:szCs w:val="24"/>
                <w:lang w:val="en-GB"/>
              </w:rPr>
              <w:t>Routledge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>, 1990.</w:t>
            </w:r>
          </w:p>
          <w:p w:rsidR="0053752C" w:rsidRPr="00A35237" w:rsidRDefault="0053752C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 w:rsidRPr="009724E6">
              <w:rPr>
                <w:smallCaps/>
                <w:sz w:val="24"/>
                <w:szCs w:val="24"/>
              </w:rPr>
              <w:t>R</w:t>
            </w:r>
            <w:r w:rsidRPr="009724E6">
              <w:rPr>
                <w:sz w:val="24"/>
                <w:szCs w:val="24"/>
              </w:rPr>
              <w:t>oyle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proofErr w:type="spellStart"/>
            <w:r w:rsidRPr="009724E6">
              <w:rPr>
                <w:sz w:val="24"/>
                <w:szCs w:val="24"/>
              </w:rPr>
              <w:t>Nicholas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r w:rsidRPr="009724E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724E6">
              <w:rPr>
                <w:i/>
                <w:sz w:val="24"/>
                <w:szCs w:val="24"/>
              </w:rPr>
              <w:t>Uncanny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. </w:t>
            </w:r>
            <w:r w:rsidRPr="009724E6">
              <w:rPr>
                <w:sz w:val="24"/>
                <w:szCs w:val="24"/>
              </w:rPr>
              <w:t xml:space="preserve">New York, </w:t>
            </w:r>
            <w:proofErr w:type="spellStart"/>
            <w:r w:rsidRPr="009724E6">
              <w:rPr>
                <w:sz w:val="24"/>
                <w:szCs w:val="24"/>
              </w:rPr>
              <w:t>Routledge</w:t>
            </w:r>
            <w:proofErr w:type="spellEnd"/>
            <w:r w:rsidRPr="009724E6">
              <w:rPr>
                <w:sz w:val="24"/>
                <w:szCs w:val="24"/>
              </w:rPr>
              <w:t>, 2003.</w:t>
            </w:r>
          </w:p>
        </w:tc>
      </w:tr>
      <w:tr w:rsidR="0053752C" w:rsidRPr="00A35237" w:rsidTr="00C66463">
        <w:trPr>
          <w:trHeight w:val="338"/>
        </w:trPr>
        <w:tc>
          <w:tcPr>
            <w:tcW w:w="9180" w:type="dxa"/>
            <w:gridSpan w:val="3"/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 xml:space="preserve">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15C4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15C42">
              <w:rPr>
                <w:sz w:val="24"/>
                <w:szCs w:val="24"/>
              </w:rPr>
              <w:t xml:space="preserve"> PhD</w:t>
            </w:r>
          </w:p>
        </w:tc>
      </w:tr>
      <w:tr w:rsidR="0053752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03" w:rsidRDefault="005A3303" w:rsidP="0053752C">
      <w:r>
        <w:separator/>
      </w:r>
    </w:p>
  </w:endnote>
  <w:endnote w:type="continuationSeparator" w:id="0">
    <w:p w:rsidR="005A3303" w:rsidRDefault="005A3303" w:rsidP="0053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03" w:rsidRDefault="005A3303" w:rsidP="0053752C">
      <w:r>
        <w:separator/>
      </w:r>
    </w:p>
  </w:footnote>
  <w:footnote w:type="continuationSeparator" w:id="0">
    <w:p w:rsidR="005A3303" w:rsidRDefault="005A3303" w:rsidP="0053752C">
      <w:r>
        <w:continuationSeparator/>
      </w:r>
    </w:p>
  </w:footnote>
  <w:footnote w:id="1">
    <w:p w:rsidR="0053752C" w:rsidRDefault="0053752C" w:rsidP="00537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3752C" w:rsidRDefault="0053752C" w:rsidP="00537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2C"/>
    <w:rsid w:val="000E6543"/>
    <w:rsid w:val="001139BD"/>
    <w:rsid w:val="001A541D"/>
    <w:rsid w:val="0053752C"/>
    <w:rsid w:val="005A3303"/>
    <w:rsid w:val="00636A9D"/>
    <w:rsid w:val="006B352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52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752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752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752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1806</Characters>
  <Application>Microsoft Office Word</Application>
  <DocSecurity>0</DocSecurity>
  <Lines>15</Lines>
  <Paragraphs>4</Paragraphs>
  <ScaleCrop>false</ScaleCrop>
  <Company>EKF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2013-07-01T08:26:00Z</dcterms:created>
  <dcterms:modified xsi:type="dcterms:W3CDTF">2013-07-04T08:21:00Z</dcterms:modified>
</cp:coreProperties>
</file>