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47EFD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EFD" w:rsidRDefault="00647EFD" w:rsidP="006758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 Az identitás problematikája a 20. századi német nyelvű irodalomban</w:t>
            </w:r>
          </w:p>
          <w:p w:rsidR="00647EFD" w:rsidRDefault="00647EFD" w:rsidP="006758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NMB_NE112G2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EFD" w:rsidRDefault="00647EFD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647EFD" w:rsidTr="0067584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75848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>
              <w:rPr>
                <w:sz w:val="24"/>
                <w:szCs w:val="24"/>
              </w:rPr>
              <w:t xml:space="preserve">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47EFD" w:rsidTr="0067584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számonkérés módja: </w:t>
            </w:r>
            <w:r>
              <w:rPr>
                <w:b/>
                <w:sz w:val="24"/>
                <w:szCs w:val="24"/>
              </w:rPr>
              <w:t>gyj.</w:t>
            </w:r>
          </w:p>
        </w:tc>
      </w:tr>
      <w:tr w:rsidR="00647EFD" w:rsidTr="0067584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75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tantervi helye: </w:t>
            </w:r>
            <w:r>
              <w:rPr>
                <w:b/>
                <w:sz w:val="24"/>
                <w:szCs w:val="24"/>
              </w:rPr>
              <w:t>3. félév</w:t>
            </w:r>
          </w:p>
        </w:tc>
      </w:tr>
      <w:tr w:rsidR="00647EFD" w:rsidTr="0067584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75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feltételek:-</w:t>
            </w:r>
          </w:p>
        </w:tc>
      </w:tr>
      <w:tr w:rsidR="00647EFD" w:rsidTr="0067584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EFD" w:rsidRDefault="00647EFD" w:rsidP="00675848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  <w:p w:rsidR="00647EFD" w:rsidRDefault="00647EFD" w:rsidP="00675848">
            <w:pPr>
              <w:jc w:val="both"/>
              <w:rPr>
                <w:b/>
              </w:rPr>
            </w:pPr>
            <w:r>
              <w:rPr>
                <w:b/>
              </w:rPr>
              <w:t>Kompetenciák: (1, 4, 5, 8, 9)</w:t>
            </w:r>
          </w:p>
          <w:p w:rsidR="00647EFD" w:rsidRDefault="00647EFD" w:rsidP="00675848">
            <w:pPr>
              <w:jc w:val="both"/>
            </w:pPr>
            <w:r>
              <w:t>A tanulói személyiség fejlesztése</w:t>
            </w:r>
          </w:p>
          <w:p w:rsidR="00647EFD" w:rsidRDefault="00647EFD" w:rsidP="00675848">
            <w:pPr>
              <w:jc w:val="both"/>
            </w:pPr>
            <w:r>
              <w:t>A tanulók műveltségének, készségeinek és képességeinek fejlesztése a tudás felhasználásával</w:t>
            </w:r>
          </w:p>
          <w:p w:rsidR="00647EFD" w:rsidRDefault="00647EFD" w:rsidP="00675848">
            <w:pPr>
              <w:jc w:val="both"/>
            </w:pPr>
            <w:r>
              <w:t>Az egész életen át tartó tanulást megalapozó kompetenciák fejlesztése</w:t>
            </w:r>
          </w:p>
          <w:p w:rsidR="00647EFD" w:rsidRDefault="00647EFD" w:rsidP="00675848">
            <w:pPr>
              <w:jc w:val="both"/>
            </w:pPr>
            <w:r>
              <w:t>Szakmai együttműködés és kommunikáció</w:t>
            </w:r>
          </w:p>
          <w:p w:rsidR="00647EFD" w:rsidRDefault="00647EFD" w:rsidP="00675848">
            <w:pPr>
              <w:jc w:val="both"/>
            </w:pPr>
            <w:r>
              <w:t>Önművelés, elkötelezettség a szakmai fejlődésre</w:t>
            </w:r>
          </w:p>
          <w:p w:rsidR="00647EFD" w:rsidRDefault="00647EFD" w:rsidP="00675848">
            <w:pPr>
              <w:jc w:val="both"/>
              <w:rPr>
                <w:b/>
              </w:rPr>
            </w:pPr>
            <w:r>
              <w:rPr>
                <w:b/>
              </w:rPr>
              <w:t xml:space="preserve">Tudás: </w:t>
            </w:r>
          </w:p>
          <w:p w:rsidR="00647EFD" w:rsidRDefault="00647EFD" w:rsidP="00675848">
            <w:pPr>
              <w:jc w:val="both"/>
            </w:pPr>
            <w:r>
              <w:t>Az irodalom szerepének a fontossága a tanulás-tanítás folyamatában.</w:t>
            </w:r>
          </w:p>
          <w:p w:rsidR="00647EFD" w:rsidRDefault="00647EFD" w:rsidP="00675848">
            <w:pPr>
              <w:jc w:val="both"/>
            </w:pPr>
            <w:r>
              <w:t>Ismeri és érti a különböző kultúrák értékvilágát.</w:t>
            </w:r>
          </w:p>
          <w:p w:rsidR="00647EFD" w:rsidRDefault="00647EFD" w:rsidP="00675848">
            <w:pPr>
              <w:jc w:val="both"/>
            </w:pPr>
            <w:r>
              <w:rPr>
                <w:color w:val="000000"/>
              </w:rPr>
              <w:t>Az identitás kérdésével foglalkozó 20. századi német irodalom megismerése, értő olvasása.</w:t>
            </w:r>
          </w:p>
          <w:p w:rsidR="00647EFD" w:rsidRDefault="00647EFD" w:rsidP="00675848">
            <w:pPr>
              <w:jc w:val="both"/>
              <w:rPr>
                <w:b/>
              </w:rPr>
            </w:pPr>
            <w:r>
              <w:rPr>
                <w:b/>
              </w:rPr>
              <w:t xml:space="preserve">Attitűdök/nézetek: </w:t>
            </w:r>
          </w:p>
          <w:p w:rsidR="00647EFD" w:rsidRDefault="00647EFD" w:rsidP="00675848">
            <w:pPr>
              <w:jc w:val="both"/>
            </w:pPr>
            <w:r>
              <w:t>Nyitottság a tananyag új szempontból való megközelítésére, más kontextusba való helyezésére.</w:t>
            </w:r>
          </w:p>
          <w:p w:rsidR="00647EFD" w:rsidRDefault="00647EFD" w:rsidP="00675848">
            <w:pPr>
              <w:jc w:val="both"/>
            </w:pPr>
            <w:r>
              <w:t>Nyitott más kultúrák és értékek elfogadására.</w:t>
            </w:r>
          </w:p>
          <w:p w:rsidR="00647EFD" w:rsidRDefault="00647EFD" w:rsidP="00675848">
            <w:pPr>
              <w:jc w:val="both"/>
            </w:pPr>
            <w:r>
              <w:t>Elfogadja, hogy a nyelvtanítás egyben kultúra közvetítés is.</w:t>
            </w:r>
          </w:p>
          <w:p w:rsidR="00647EFD" w:rsidRDefault="00647EFD" w:rsidP="00675848">
            <w:pPr>
              <w:jc w:val="both"/>
            </w:pPr>
            <w:r>
              <w:t>Törekszik más értékek elfogadására és kritikus szemléletére.</w:t>
            </w:r>
          </w:p>
          <w:p w:rsidR="00647EFD" w:rsidRDefault="00647EFD" w:rsidP="00675848">
            <w:pPr>
              <w:jc w:val="both"/>
              <w:rPr>
                <w:b/>
              </w:rPr>
            </w:pPr>
            <w:r>
              <w:rPr>
                <w:b/>
              </w:rPr>
              <w:t xml:space="preserve">Képességek: </w:t>
            </w:r>
          </w:p>
          <w:p w:rsidR="00647EFD" w:rsidRDefault="00647EFD" w:rsidP="00675848">
            <w:pPr>
              <w:jc w:val="both"/>
            </w:pPr>
            <w:r>
              <w:t>Képes a kiválasztott szövegek önálló tanulmányozására és feldolgozására, a meglévő tudás bővítésére.</w:t>
            </w:r>
          </w:p>
          <w:p w:rsidR="00647EFD" w:rsidRDefault="00647EFD" w:rsidP="00675848">
            <w:pPr>
              <w:jc w:val="both"/>
            </w:pPr>
            <w:r>
              <w:t>Képes a tanári bevezetés után referátumok megtartására.</w:t>
            </w:r>
          </w:p>
          <w:p w:rsidR="00647EFD" w:rsidRDefault="00647EFD" w:rsidP="00675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Véleménykifejtés. </w:t>
            </w:r>
          </w:p>
          <w:p w:rsidR="00647EFD" w:rsidRDefault="00647EFD" w:rsidP="00675848">
            <w:pPr>
              <w:jc w:val="both"/>
            </w:pPr>
            <w:r>
              <w:rPr>
                <w:color w:val="000000"/>
              </w:rPr>
              <w:t>Vitakultúra fejlesztése.</w:t>
            </w:r>
          </w:p>
          <w:p w:rsidR="00647EFD" w:rsidRDefault="00647EFD" w:rsidP="00675848">
            <w:pPr>
              <w:jc w:val="both"/>
              <w:rPr>
                <w:i/>
              </w:rPr>
            </w:pPr>
            <w:r>
              <w:rPr>
                <w:b/>
              </w:rPr>
              <w:t>Cél:</w:t>
            </w:r>
            <w:r>
              <w:rPr>
                <w:b/>
                <w:i/>
              </w:rPr>
              <w:t xml:space="preserve"> </w:t>
            </w:r>
          </w:p>
          <w:p w:rsidR="00647EFD" w:rsidRDefault="00647EFD" w:rsidP="00675848">
            <w:pPr>
              <w:jc w:val="both"/>
              <w:rPr>
                <w:i/>
              </w:rPr>
            </w:pPr>
            <w:r>
              <w:t xml:space="preserve">A tárgy célja, hogy a hallgatók a 20. századi német nyelvű irodalomra egy meghatározó tematikus aspektusból nyerjenek rálátást. Az identitás összetett problematikája alapján különböző kérdésirányokat lehet kidolgozni, amelyek az individuum szintjén és társadalmi-kulturális szempontok szerint is megragadhatók, továbbá példaszerűen mutatják meg az identitásvesztésnek és a hontalanságnak a modern társadalmakban virulens tapasztalatát.   </w:t>
            </w:r>
          </w:p>
          <w:p w:rsidR="00647EFD" w:rsidRDefault="00647EFD" w:rsidP="00675848">
            <w:pPr>
              <w:jc w:val="both"/>
              <w:rPr>
                <w:i/>
              </w:rPr>
            </w:pPr>
            <w:r>
              <w:rPr>
                <w:b/>
              </w:rPr>
              <w:t xml:space="preserve">Tartalom: </w:t>
            </w:r>
          </w:p>
          <w:p w:rsidR="00647EFD" w:rsidRDefault="00647EFD" w:rsidP="00675848">
            <w:pPr>
              <w:jc w:val="both"/>
              <w:rPr>
                <w:b/>
              </w:rPr>
            </w:pPr>
            <w:r>
              <w:t xml:space="preserve">A tárgy az identitás problematikáját állítja középpontba a 20. századi német nyelvű irodalomból választott regények alapján. A kiválasztott szövegeket együtt dolgozzuk fel, elemezzük és vitatjuk meg. Először az irodalmi szövegekben </w:t>
            </w:r>
            <w:proofErr w:type="gramStart"/>
            <w:r>
              <w:t>leírt</w:t>
            </w:r>
            <w:proofErr w:type="gramEnd"/>
            <w:r>
              <w:t xml:space="preserve"> ill. esztétikailag megformált tapasztalatokat tematizáljuk: a szerepidentitást, a kettős vagy többszörös identitást, a hibrid identitást, az egyéni és a kollektív identitást, az identitás és a haza elvesztését, az instabilitást stb. Ennek eredményeképpen egy előzetes eszköztárat nyerünk a tematika megközelítéséhez. Második lépésként a konkrét műveket dolgozzuk fel, és részletesebben vizsgáljuk az </w:t>
            </w:r>
            <w:proofErr w:type="gramStart"/>
            <w:r>
              <w:t>identitástémának</w:t>
            </w:r>
            <w:proofErr w:type="gramEnd"/>
            <w:r>
              <w:t xml:space="preserve"> ill. ábrázolásának egyes szerzőkre jellemző aspektusait.</w:t>
            </w:r>
          </w:p>
          <w:p w:rsidR="00647EFD" w:rsidRDefault="00647EFD" w:rsidP="00675848">
            <w:pPr>
              <w:jc w:val="both"/>
              <w:rPr>
                <w:b/>
              </w:rPr>
            </w:pPr>
            <w:r>
              <w:rPr>
                <w:b/>
              </w:rPr>
              <w:t>Módszerek:</w:t>
            </w:r>
          </w:p>
          <w:p w:rsidR="00647EFD" w:rsidRDefault="00647EFD" w:rsidP="00675848">
            <w:pPr>
              <w:jc w:val="both"/>
            </w:pPr>
            <w:r>
              <w:t xml:space="preserve">Tanári bevezetéssel referátumok, megbeszélés és elemzés. </w:t>
            </w:r>
          </w:p>
          <w:p w:rsidR="00647EFD" w:rsidRDefault="00647EFD" w:rsidP="00675848">
            <w:pPr>
              <w:jc w:val="both"/>
              <w:rPr>
                <w:b/>
              </w:rPr>
            </w:pPr>
            <w:r>
              <w:rPr>
                <w:b/>
              </w:rPr>
              <w:t>Követelmények, a tanegység teljesítésének feltételei:</w:t>
            </w:r>
          </w:p>
          <w:p w:rsidR="00647EFD" w:rsidRDefault="00647EFD" w:rsidP="00675848">
            <w:pPr>
              <w:ind w:right="-108"/>
            </w:pPr>
            <w:r>
              <w:t>Kiselőadás, házi dolgozat, szóbeli órai munka</w:t>
            </w:r>
          </w:p>
        </w:tc>
      </w:tr>
      <w:tr w:rsidR="00647EFD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47EFD" w:rsidRDefault="00647EFD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647EFD" w:rsidTr="0067584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EFD" w:rsidRDefault="00647EFD" w:rsidP="00675848">
            <w:pPr>
              <w:jc w:val="both"/>
              <w:rPr>
                <w:b/>
              </w:rPr>
            </w:pPr>
            <w:r>
              <w:rPr>
                <w:b/>
              </w:rPr>
              <w:t>Kötelező olvasmányok:</w:t>
            </w:r>
          </w:p>
          <w:p w:rsidR="00647EFD" w:rsidRPr="00EE32DC" w:rsidRDefault="00647EFD" w:rsidP="00647EFD">
            <w:pPr>
              <w:numPr>
                <w:ilvl w:val="0"/>
                <w:numId w:val="1"/>
              </w:numPr>
              <w:tabs>
                <w:tab w:val="left" w:pos="7083"/>
              </w:tabs>
              <w:rPr>
                <w:lang w:val="de-DE"/>
              </w:rPr>
            </w:pPr>
            <w:r w:rsidRPr="000609C7">
              <w:rPr>
                <w:lang w:val="de-DE"/>
              </w:rPr>
              <w:t xml:space="preserve">Mann, Thomas: </w:t>
            </w:r>
            <w:r w:rsidRPr="000609C7">
              <w:rPr>
                <w:i/>
                <w:lang w:val="de-DE"/>
              </w:rPr>
              <w:t>Buddenbrook</w:t>
            </w:r>
            <w:r w:rsidRPr="000609C7">
              <w:rPr>
                <w:lang w:val="de-DE"/>
              </w:rPr>
              <w:t>s. Frankfurt am Main: Fischer, 1989</w:t>
            </w:r>
          </w:p>
          <w:p w:rsidR="00647EFD" w:rsidRPr="00EE32DC" w:rsidRDefault="00647EFD" w:rsidP="00647EFD">
            <w:pPr>
              <w:numPr>
                <w:ilvl w:val="0"/>
                <w:numId w:val="1"/>
              </w:numPr>
              <w:tabs>
                <w:tab w:val="left" w:pos="7083"/>
              </w:tabs>
              <w:rPr>
                <w:lang w:val="de-DE"/>
              </w:rPr>
            </w:pPr>
            <w:r>
              <w:rPr>
                <w:lang w:val="de-DE"/>
              </w:rPr>
              <w:t xml:space="preserve">Kafka, Franz: </w:t>
            </w:r>
            <w:r>
              <w:rPr>
                <w:i/>
                <w:lang w:val="de-DE"/>
              </w:rPr>
              <w:t>Das</w:t>
            </w:r>
            <w:r>
              <w:rPr>
                <w:lang w:val="de-DE"/>
              </w:rPr>
              <w:t xml:space="preserve"> </w:t>
            </w:r>
            <w:r w:rsidRPr="000609C7">
              <w:rPr>
                <w:i/>
                <w:lang w:val="de-DE"/>
              </w:rPr>
              <w:t>Schloss.</w:t>
            </w:r>
            <w:r w:rsidRPr="000609C7">
              <w:rPr>
                <w:lang w:val="de-DE"/>
              </w:rPr>
              <w:t xml:space="preserve"> Frankfurt am Main: Fischer, 1968</w:t>
            </w:r>
          </w:p>
          <w:p w:rsidR="00647EFD" w:rsidRPr="00EE32DC" w:rsidRDefault="00647EFD" w:rsidP="00647EFD">
            <w:pPr>
              <w:numPr>
                <w:ilvl w:val="0"/>
                <w:numId w:val="1"/>
              </w:numPr>
              <w:tabs>
                <w:tab w:val="left" w:pos="7083"/>
              </w:tabs>
              <w:rPr>
                <w:lang w:val="de-DE"/>
              </w:rPr>
            </w:pPr>
            <w:r w:rsidRPr="000609C7">
              <w:rPr>
                <w:lang w:val="de-DE"/>
              </w:rPr>
              <w:t xml:space="preserve">Roth, Joseph: </w:t>
            </w:r>
            <w:r w:rsidRPr="000609C7">
              <w:rPr>
                <w:i/>
                <w:lang w:val="de-DE"/>
              </w:rPr>
              <w:t>Hiob</w:t>
            </w:r>
            <w:r w:rsidRPr="000609C7">
              <w:rPr>
                <w:lang w:val="de-DE"/>
              </w:rPr>
              <w:t>. Köln: Kiepenheuer &amp; Witsch, 1974</w:t>
            </w:r>
          </w:p>
          <w:p w:rsidR="00647EFD" w:rsidRPr="00EE32DC" w:rsidRDefault="00647EFD" w:rsidP="00647EFD">
            <w:pPr>
              <w:numPr>
                <w:ilvl w:val="0"/>
                <w:numId w:val="1"/>
              </w:numPr>
              <w:tabs>
                <w:tab w:val="left" w:pos="7083"/>
              </w:tabs>
              <w:rPr>
                <w:lang w:val="de-DE"/>
              </w:rPr>
            </w:pPr>
            <w:r w:rsidRPr="000609C7">
              <w:rPr>
                <w:lang w:val="de-DE"/>
              </w:rPr>
              <w:t xml:space="preserve">Frisch, Max: </w:t>
            </w:r>
            <w:r w:rsidRPr="000609C7">
              <w:rPr>
                <w:i/>
                <w:lang w:val="de-DE"/>
              </w:rPr>
              <w:t xml:space="preserve">Mein Name sei Gantenbein. </w:t>
            </w:r>
            <w:r w:rsidRPr="000609C7">
              <w:rPr>
                <w:lang w:val="de-DE"/>
              </w:rPr>
              <w:t>Frankfurt am Main: Surhrkamp, 1964</w:t>
            </w:r>
          </w:p>
          <w:p w:rsidR="00647EFD" w:rsidRDefault="00647EFD" w:rsidP="00675848">
            <w:pPr>
              <w:jc w:val="both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647EFD" w:rsidRDefault="00647EFD" w:rsidP="00647EFD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Aleida Assmann/Heidrun Friese (Hg.): </w:t>
            </w:r>
            <w:r>
              <w:rPr>
                <w:i/>
                <w:iCs/>
                <w:lang w:val="de-DE"/>
              </w:rPr>
              <w:t>Identitäten</w:t>
            </w:r>
            <w:r>
              <w:rPr>
                <w:lang w:val="de-DE"/>
              </w:rPr>
              <w:t xml:space="preserve"> (Erinnerung, Geschichte, Identität, 3). </w:t>
            </w:r>
            <w:hyperlink r:id="rId5" w:history="1">
              <w:r w:rsidRPr="00E50D07">
                <w:rPr>
                  <w:rStyle w:val="Hiperhivatkozs"/>
                  <w:lang w:val="de-DE"/>
                </w:rPr>
                <w:t>Suhrkamp Verlag</w:t>
              </w:r>
            </w:hyperlink>
            <w:r w:rsidRPr="00E50D07">
              <w:rPr>
                <w:lang w:val="de-DE"/>
              </w:rPr>
              <w:t>,</w:t>
            </w:r>
            <w:r>
              <w:rPr>
                <w:lang w:val="de-DE"/>
              </w:rPr>
              <w:t xml:space="preserve"> Frankfurt a.M. 1998</w:t>
            </w:r>
          </w:p>
          <w:p w:rsidR="00647EFD" w:rsidRDefault="00647EFD" w:rsidP="00647E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lang w:val="de-DE"/>
              </w:rPr>
            </w:pPr>
            <w:r>
              <w:rPr>
                <w:lang w:val="de-DE"/>
              </w:rPr>
              <w:t xml:space="preserve">Herrmann Veith: </w:t>
            </w:r>
            <w:r>
              <w:rPr>
                <w:i/>
                <w:iCs/>
                <w:lang w:val="de-DE"/>
              </w:rPr>
              <w:t xml:space="preserve">Das Selbstverständnis des modernen Menschen. Theorien des vergesellschafteten </w:t>
            </w:r>
            <w:r>
              <w:rPr>
                <w:i/>
                <w:iCs/>
                <w:lang w:val="de-DE"/>
              </w:rPr>
              <w:lastRenderedPageBreak/>
              <w:t>Individuums im 20. Jahrhundert</w:t>
            </w:r>
            <w:r>
              <w:rPr>
                <w:lang w:val="de-DE"/>
              </w:rPr>
              <w:t xml:space="preserve">. </w:t>
            </w:r>
            <w:hyperlink r:id="rId6" w:tooltip="Campus Verlag" w:history="1">
              <w:r w:rsidRPr="00E50D07">
                <w:rPr>
                  <w:rStyle w:val="Hiperhivatkozs"/>
                  <w:lang w:val="de-DE"/>
                </w:rPr>
                <w:t>Campus</w:t>
              </w:r>
            </w:hyperlink>
            <w:r w:rsidRPr="00E50D07">
              <w:rPr>
                <w:lang w:val="de-DE"/>
              </w:rPr>
              <w:t>,</w:t>
            </w:r>
            <w:r>
              <w:rPr>
                <w:lang w:val="de-DE"/>
              </w:rPr>
              <w:t xml:space="preserve"> Frankfurt a.M./New York 2001</w:t>
            </w:r>
          </w:p>
          <w:p w:rsidR="00647EFD" w:rsidRDefault="00647EFD" w:rsidP="00647EFD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Herbert Willems/Alois Hahn (Hg.): </w:t>
            </w:r>
            <w:r>
              <w:rPr>
                <w:i/>
                <w:iCs/>
                <w:lang w:val="de-DE"/>
              </w:rPr>
              <w:t>Identität und Moderne</w:t>
            </w:r>
            <w:r>
              <w:rPr>
                <w:lang w:val="de-DE"/>
              </w:rPr>
              <w:t>. Suhrkamp, Frankfurt a.M. 1999</w:t>
            </w:r>
          </w:p>
          <w:p w:rsidR="00647EFD" w:rsidRDefault="00647EFD" w:rsidP="00647EFD">
            <w:pPr>
              <w:numPr>
                <w:ilvl w:val="0"/>
                <w:numId w:val="2"/>
              </w:numPr>
              <w:tabs>
                <w:tab w:val="left" w:pos="7083"/>
              </w:tabs>
            </w:pPr>
            <w:r>
              <w:t xml:space="preserve">Klugkist, Thomas: </w:t>
            </w:r>
            <w:r>
              <w:rPr>
                <w:i/>
              </w:rPr>
              <w:t xml:space="preserve">49 Fragen und Antworten zu Thomas Mann. </w:t>
            </w:r>
            <w:r w:rsidRPr="000D2C62">
              <w:t>Frankfurt am Main: Fischer, 2003,</w:t>
            </w:r>
          </w:p>
          <w:p w:rsidR="00647EFD" w:rsidRDefault="00647EFD" w:rsidP="00647EFD">
            <w:pPr>
              <w:numPr>
                <w:ilvl w:val="0"/>
                <w:numId w:val="2"/>
              </w:numPr>
              <w:jc w:val="both"/>
            </w:pPr>
            <w:r>
              <w:t xml:space="preserve">Kurzke, Hermann: </w:t>
            </w:r>
            <w:r>
              <w:rPr>
                <w:i/>
              </w:rPr>
              <w:t xml:space="preserve">Thomas Mann. Ein Porträt für seine Leser. </w:t>
            </w:r>
            <w:r>
              <w:t>München: C. H. Beck, 2009</w:t>
            </w:r>
          </w:p>
          <w:p w:rsidR="00647EFD" w:rsidRDefault="00647EFD" w:rsidP="00647EFD">
            <w:pPr>
              <w:numPr>
                <w:ilvl w:val="0"/>
                <w:numId w:val="2"/>
              </w:numPr>
              <w:tabs>
                <w:tab w:val="left" w:pos="7083"/>
              </w:tabs>
            </w:pPr>
            <w:r>
              <w:t xml:space="preserve">Kurzke, Hermann: </w:t>
            </w:r>
            <w:r>
              <w:rPr>
                <w:i/>
              </w:rPr>
              <w:t>Thomas Mann. Epoche – Werk – Wirkung.</w:t>
            </w:r>
            <w:r>
              <w:t xml:space="preserve"> Frankfurt am Main: Fischer, 2002</w:t>
            </w:r>
          </w:p>
          <w:p w:rsidR="00647EFD" w:rsidRDefault="00647EFD" w:rsidP="00647E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lang w:val="de-DE"/>
              </w:rPr>
            </w:pPr>
            <w:hyperlink r:id="rId7" w:tooltip="Peter-André Alt" w:history="1">
              <w:r w:rsidRPr="00E50D07">
                <w:rPr>
                  <w:rStyle w:val="Hiperhivatkozs"/>
                  <w:lang w:val="de-DE"/>
                </w:rPr>
                <w:t>Peter-André Alt</w:t>
              </w:r>
            </w:hyperlink>
            <w:r w:rsidRPr="00E50D07">
              <w:rPr>
                <w:lang w:val="de-DE"/>
              </w:rPr>
              <w:t>:</w:t>
            </w:r>
            <w:r>
              <w:rPr>
                <w:lang w:val="de-DE"/>
              </w:rPr>
              <w:t xml:space="preserve"> </w:t>
            </w:r>
            <w:r>
              <w:rPr>
                <w:i/>
                <w:iCs/>
                <w:lang w:val="de-DE"/>
              </w:rPr>
              <w:t>Franz Kafka: Der ewige Sohn. Eine Biographie.</w:t>
            </w:r>
            <w:r>
              <w:rPr>
                <w:lang w:val="de-DE"/>
              </w:rPr>
              <w:t xml:space="preserve"> C.H. Beck, München, 2005. </w:t>
            </w:r>
          </w:p>
          <w:p w:rsidR="00647EFD" w:rsidRDefault="00647EFD" w:rsidP="00647EFD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Walter Fromm: </w:t>
            </w:r>
            <w:r>
              <w:rPr>
                <w:i/>
                <w:iCs/>
                <w:lang w:val="de-DE"/>
              </w:rPr>
              <w:t>Das Schloss.</w:t>
            </w:r>
            <w:r>
              <w:rPr>
                <w:lang w:val="de-DE"/>
              </w:rPr>
              <w:t xml:space="preserve"> In: Manfred Engel, Bernd Auerochs (Hrsg.): </w:t>
            </w:r>
            <w:r>
              <w:rPr>
                <w:i/>
                <w:iCs/>
                <w:lang w:val="de-DE"/>
              </w:rPr>
              <w:t>Kafka-Handbuch. Leben - Werk - Wirkung.</w:t>
            </w:r>
            <w:r>
              <w:rPr>
                <w:lang w:val="de-DE"/>
              </w:rPr>
              <w:t xml:space="preserve"> Metzler, Stuttgart, Weimar 2010</w:t>
            </w:r>
          </w:p>
          <w:p w:rsidR="00647EFD" w:rsidRDefault="00647EFD" w:rsidP="00647E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lang w:val="de-DE"/>
              </w:rPr>
            </w:pPr>
            <w:r w:rsidRPr="004F2260">
              <w:rPr>
                <w:lang w:val="en-GB"/>
              </w:rPr>
              <w:t xml:space="preserve">Lowsky, Martin: </w:t>
            </w:r>
            <w:r w:rsidRPr="004F2260">
              <w:rPr>
                <w:i/>
                <w:iCs/>
                <w:lang w:val="en-GB"/>
              </w:rPr>
              <w:t xml:space="preserve">Joseph Roth: Hiob. </w:t>
            </w:r>
            <w:r>
              <w:rPr>
                <w:i/>
                <w:iCs/>
                <w:lang w:val="de-DE"/>
              </w:rPr>
              <w:t>Roman eines einfachen Mannes.</w:t>
            </w:r>
            <w:r>
              <w:rPr>
                <w:lang w:val="de-DE"/>
              </w:rPr>
              <w:t xml:space="preserve"> Königs Erläuterungen und Materialien (Bd. 435). Hollfeld: C. Bange Verlag 2005 </w:t>
            </w:r>
          </w:p>
          <w:p w:rsidR="00647EFD" w:rsidRDefault="00647EFD" w:rsidP="00647E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lang w:val="de-DE"/>
              </w:rPr>
            </w:pPr>
            <w:r w:rsidRPr="004F2260">
              <w:rPr>
                <w:lang w:val="en-GB"/>
              </w:rPr>
              <w:t xml:space="preserve">Christine Schmidjell: </w:t>
            </w:r>
            <w:r w:rsidRPr="004F2260">
              <w:rPr>
                <w:i/>
                <w:iCs/>
                <w:lang w:val="en-GB"/>
              </w:rPr>
              <w:t xml:space="preserve">Joseph Roth. Hiob. </w:t>
            </w:r>
            <w:r>
              <w:rPr>
                <w:i/>
                <w:iCs/>
                <w:lang w:val="de-DE"/>
              </w:rPr>
              <w:t>Erläuterungen und Dokumente</w:t>
            </w:r>
            <w:r>
              <w:rPr>
                <w:lang w:val="de-DE"/>
              </w:rPr>
              <w:t xml:space="preserve">. Stuttgart: Reclam 2004 (Reclam UB 16033). </w:t>
            </w:r>
          </w:p>
          <w:p w:rsidR="00647EFD" w:rsidRDefault="00647EFD" w:rsidP="00647EFD">
            <w:pPr>
              <w:numPr>
                <w:ilvl w:val="0"/>
                <w:numId w:val="2"/>
              </w:numPr>
              <w:tabs>
                <w:tab w:val="left" w:pos="7083"/>
              </w:tabs>
              <w:rPr>
                <w:lang w:val="de-DE"/>
              </w:rPr>
            </w:pPr>
            <w:r>
              <w:rPr>
                <w:lang w:val="de-DE"/>
              </w:rPr>
              <w:t xml:space="preserve">Sybille Heidenreich: </w:t>
            </w:r>
            <w:r>
              <w:rPr>
                <w:i/>
                <w:iCs/>
                <w:lang w:val="de-DE"/>
              </w:rPr>
              <w:t>Max Frisch: Stiller. Mein Name sei Gantenbein. Montauk</w:t>
            </w:r>
            <w:r>
              <w:rPr>
                <w:lang w:val="de-DE"/>
              </w:rPr>
              <w:t>. Beyer, Hollfeld 2007</w:t>
            </w:r>
          </w:p>
          <w:p w:rsidR="00647EFD" w:rsidRDefault="00647EFD" w:rsidP="00647EFD">
            <w:pPr>
              <w:numPr>
                <w:ilvl w:val="0"/>
                <w:numId w:val="2"/>
              </w:numPr>
              <w:tabs>
                <w:tab w:val="left" w:pos="7083"/>
              </w:tabs>
              <w:rPr>
                <w:lang w:val="de-DE"/>
              </w:rPr>
            </w:pPr>
            <w:r>
              <w:rPr>
                <w:lang w:val="de-DE"/>
              </w:rPr>
              <w:t xml:space="preserve">Brigitta Hochuli: </w:t>
            </w:r>
            <w:r>
              <w:rPr>
                <w:i/>
                <w:iCs/>
                <w:lang w:val="de-DE"/>
              </w:rPr>
              <w:t>Mythische Diskurse in Max Frischs „Mein Name sei Gantenbein“</w:t>
            </w:r>
            <w:r>
              <w:rPr>
                <w:lang w:val="de-DE"/>
              </w:rPr>
              <w:t>. Bautz, Nordhausen 2004</w:t>
            </w:r>
          </w:p>
          <w:p w:rsidR="00647EFD" w:rsidRPr="00EE32DC" w:rsidRDefault="00647EFD" w:rsidP="00647EFD">
            <w:pPr>
              <w:numPr>
                <w:ilvl w:val="0"/>
                <w:numId w:val="2"/>
              </w:numPr>
              <w:tabs>
                <w:tab w:val="left" w:pos="7083"/>
              </w:tabs>
              <w:rPr>
                <w:lang w:val="de-DE"/>
              </w:rPr>
            </w:pPr>
            <w:r>
              <w:rPr>
                <w:lang w:val="de-DE"/>
              </w:rPr>
              <w:t xml:space="preserve">Frauke Maria Hoß: </w:t>
            </w:r>
            <w:r>
              <w:rPr>
                <w:i/>
                <w:iCs/>
                <w:lang w:val="de-DE"/>
              </w:rPr>
              <w:t>Philosophische Elemente im Werk von Max Frisch. Grundphänomene menschlicher Existenz in den Romanen „Stiller“, „Homo faber“ und „Mein Name sei Gantenbein“</w:t>
            </w:r>
            <w:r>
              <w:rPr>
                <w:lang w:val="de-DE"/>
              </w:rPr>
              <w:t>. Bautz, Nordhausen 2004</w:t>
            </w:r>
          </w:p>
        </w:tc>
      </w:tr>
      <w:tr w:rsidR="00647EFD" w:rsidTr="00675848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47EFD" w:rsidRDefault="00647EFD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647EFD" w:rsidTr="00675848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felelőse: Dr. Nagy Rita főiskolai docens, PhD</w:t>
            </w:r>
          </w:p>
        </w:tc>
      </w:tr>
      <w:tr w:rsidR="00647EFD" w:rsidTr="00675848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Dr. Szabó Csaba főiskolai docens, PhD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4EF"/>
    <w:multiLevelType w:val="hybridMultilevel"/>
    <w:tmpl w:val="8870D7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074F4"/>
    <w:multiLevelType w:val="hybridMultilevel"/>
    <w:tmpl w:val="4F04E3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grammar="clean"/>
  <w:defaultTabStop w:val="708"/>
  <w:hyphenationZone w:val="425"/>
  <w:characterSpacingControl w:val="doNotCompress"/>
  <w:compat/>
  <w:rsids>
    <w:rsidRoot w:val="00647EFD"/>
    <w:rsid w:val="00104DF9"/>
    <w:rsid w:val="0064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7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47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Peter-Andr%C3%A9_A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Campus_Verlag" TargetMode="External"/><Relationship Id="rId5" Type="http://schemas.openxmlformats.org/officeDocument/2006/relationships/hyperlink" Target="http://de.wikipedia.org/wiki/Suhrkamp_Verl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4196</Characters>
  <Application>Microsoft Office Word</Application>
  <DocSecurity>0</DocSecurity>
  <Lines>34</Lines>
  <Paragraphs>9</Paragraphs>
  <ScaleCrop>false</ScaleCrop>
  <Company>EKF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2011-06-24T06:32:00Z</dcterms:created>
  <dcterms:modified xsi:type="dcterms:W3CDTF">2011-06-24T06:32:00Z</dcterms:modified>
</cp:coreProperties>
</file>