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2" w:rsidRDefault="00FA45D2" w:rsidP="00FA45D2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FA45D2" w:rsidRPr="0084368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45D2" w:rsidRPr="002048DC" w:rsidRDefault="00FA45D2" w:rsidP="00EB44C2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Tantárgy neve: </w:t>
            </w:r>
            <w:r w:rsidRPr="009E0568">
              <w:rPr>
                <w:rFonts w:ascii="Georgia" w:hAnsi="Georgia"/>
                <w:caps/>
                <w:sz w:val="28"/>
                <w:szCs w:val="28"/>
              </w:rPr>
              <w:t xml:space="preserve">Egészséges életmód </w:t>
            </w:r>
            <w:proofErr w:type="gramStart"/>
            <w:r w:rsidRPr="009E0568">
              <w:rPr>
                <w:rFonts w:ascii="Georgia" w:hAnsi="Georgia"/>
                <w:caps/>
                <w:sz w:val="28"/>
                <w:szCs w:val="28"/>
              </w:rPr>
              <w:t>és</w:t>
            </w:r>
            <w:proofErr w:type="gramEnd"/>
            <w:r w:rsidRPr="009E0568">
              <w:rPr>
                <w:rFonts w:ascii="Georgia" w:hAnsi="Georgia"/>
                <w:caps/>
                <w:sz w:val="28"/>
                <w:szCs w:val="28"/>
              </w:rPr>
              <w:t xml:space="preserve"> életvezetés</w:t>
            </w:r>
          </w:p>
        </w:tc>
      </w:tr>
      <w:tr w:rsidR="00FA45D2" w:rsidRPr="0084368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 w:rsidRPr="00843682">
              <w:rPr>
                <w:szCs w:val="24"/>
              </w:rPr>
              <w:t>Tantárgy kódja</w:t>
            </w:r>
            <w:proofErr w:type="gramStart"/>
            <w:r w:rsidRPr="00843682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  <w:bookmarkStart w:id="0" w:name="_GoBack"/>
            <w:r>
              <w:rPr>
                <w:szCs w:val="24"/>
              </w:rPr>
              <w:t>NFP</w:t>
            </w:r>
            <w:proofErr w:type="gramEnd"/>
            <w:r>
              <w:rPr>
                <w:szCs w:val="24"/>
              </w:rPr>
              <w:t>_CG402G3</w:t>
            </w:r>
            <w:bookmarkEnd w:id="0"/>
          </w:p>
        </w:tc>
      </w:tr>
      <w:tr w:rsidR="00FA45D2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FA45D2" w:rsidRDefault="00FA45D2" w:rsidP="00EB44C2">
            <w:pPr>
              <w:rPr>
                <w:b/>
                <w:bCs/>
              </w:rPr>
            </w:pPr>
          </w:p>
          <w:p w:rsidR="00FA45D2" w:rsidRDefault="00FA45D2" w:rsidP="00EB44C2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FA45D2" w:rsidRDefault="00FA45D2" w:rsidP="00EB44C2">
            <w:pPr>
              <w:rPr>
                <w:bCs/>
              </w:rPr>
            </w:pPr>
          </w:p>
          <w:p w:rsidR="00FA45D2" w:rsidRDefault="00FA45D2" w:rsidP="00EB44C2">
            <w:pPr>
              <w:jc w:val="center"/>
            </w:pPr>
            <w: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FA45D2" w:rsidRDefault="00FA4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FA45D2" w:rsidRDefault="00FA45D2" w:rsidP="00EB44C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FA45D2" w:rsidRDefault="00FA45D2" w:rsidP="00EB44C2">
            <w:r>
              <w:tab/>
              <w:t>Előadás</w:t>
            </w:r>
          </w:p>
          <w:p w:rsidR="00FA45D2" w:rsidRDefault="00FA45D2" w:rsidP="00EB44C2">
            <w:r>
              <w:tab/>
              <w:t>Szeminárium</w:t>
            </w:r>
            <w:r>
              <w:tab/>
              <w:t>X</w:t>
            </w:r>
          </w:p>
          <w:p w:rsidR="00FA45D2" w:rsidRDefault="00FA45D2" w:rsidP="00EB44C2">
            <w:pPr>
              <w:rPr>
                <w:b/>
                <w:bCs/>
              </w:rPr>
            </w:pPr>
            <w:r>
              <w:tab/>
              <w:t>Gyakorlat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FA45D2" w:rsidRDefault="00FA45D2" w:rsidP="00EB44C2">
            <w:r>
              <w:t>Kollokvium</w:t>
            </w:r>
          </w:p>
          <w:p w:rsidR="00FA45D2" w:rsidRDefault="00FA45D2" w:rsidP="00EB44C2">
            <w:pPr>
              <w:rPr>
                <w:b/>
                <w:bCs/>
              </w:rPr>
            </w:pPr>
            <w:r>
              <w:t>Gyakorlati jegy</w:t>
            </w:r>
            <w:r>
              <w:tab/>
              <w:t>X</w:t>
            </w:r>
          </w:p>
        </w:tc>
      </w:tr>
      <w:tr w:rsidR="00FA45D2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pPr>
              <w:rPr>
                <w:b/>
                <w:bCs/>
              </w:rPr>
            </w:pPr>
          </w:p>
          <w:p w:rsidR="00FA45D2" w:rsidRPr="003742F7" w:rsidRDefault="00FA45D2" w:rsidP="00EB44C2">
            <w:pPr>
              <w:spacing w:after="120"/>
              <w:jc w:val="both"/>
              <w:rPr>
                <w:i/>
                <w:iCs/>
              </w:rPr>
            </w:pPr>
            <w:r w:rsidRPr="003742F7">
              <w:rPr>
                <w:b/>
              </w:rPr>
              <w:t>A tantárgy oktatásának célja</w:t>
            </w:r>
            <w:r w:rsidRPr="003742F7">
              <w:rPr>
                <w:b/>
                <w:bCs/>
              </w:rPr>
              <w:t>:</w:t>
            </w:r>
          </w:p>
          <w:p w:rsidR="00FA45D2" w:rsidRDefault="00FA45D2" w:rsidP="00EB44C2">
            <w:pPr>
              <w:ind w:firstLine="642"/>
              <w:jc w:val="both"/>
              <w:rPr>
                <w:bCs/>
              </w:rPr>
            </w:pPr>
            <w:r>
              <w:rPr>
                <w:bCs/>
              </w:rPr>
              <w:t>Alapvető ismeretek nyújtása az egészséges életmód alakításának lehetőségeiről. Környezet egészségügyi ismereteket nyújtani. Megismertetni a hallgatókkal az egészséges életmódra nevelés területeit, módszereit, eszközeit, a mozgás lehetőségeit. A családdal való helyes, hatékony együttműködés lehetőségeinek feltárása.</w:t>
            </w:r>
          </w:p>
          <w:p w:rsidR="00FA45D2" w:rsidRDefault="00FA45D2" w:rsidP="00EB44C2">
            <w:pPr>
              <w:ind w:firstLine="642"/>
              <w:jc w:val="both"/>
              <w:rPr>
                <w:bCs/>
              </w:rPr>
            </w:pPr>
          </w:p>
          <w:p w:rsidR="00FA45D2" w:rsidRDefault="00FA45D2" w:rsidP="00EB44C2">
            <w:pPr>
              <w:jc w:val="both"/>
              <w:rPr>
                <w:bCs/>
              </w:rPr>
            </w:pPr>
            <w:r w:rsidRPr="009602E4">
              <w:rPr>
                <w:b/>
                <w:bCs/>
              </w:rPr>
              <w:t>Tananyagtartalom</w:t>
            </w:r>
            <w:r>
              <w:rPr>
                <w:bCs/>
              </w:rPr>
              <w:t>: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Fizikai egészséget befolyásoló tényezők</w:t>
            </w:r>
            <w:r>
              <w:rPr>
                <w:bCs/>
              </w:rPr>
              <w:t xml:space="preserve">: </w:t>
            </w:r>
            <w:r w:rsidRPr="00D45EFA">
              <w:rPr>
                <w:bCs/>
              </w:rPr>
              <w:t>A bőr élettani szerepe és tisztántartása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Táplálkozási alapelvek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Testmozgás, sport jelentősége és hatása a szervezetre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A pihenés fajtái, követelménye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Bizonyos szokások káros hatása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A személyi egészség megőrzésének szabályai, jelentősége a gondozói munkában.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A természetes környezet és az ember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A levegő egészségtartama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Klíma és az időjárás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Időjárási frontok hatása az emberre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A természetes környezet és az ember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A víz egészségtana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Szennyvíz és a víz minőség védelme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A talaj egészségtana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Hulladék-anyagok és egészségügyi jelentőségük.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Település-egészségtan</w:t>
            </w:r>
            <w:r>
              <w:rPr>
                <w:bCs/>
              </w:rPr>
              <w:t xml:space="preserve">. Települések formái, fejlődése. </w:t>
            </w:r>
            <w:r w:rsidRPr="00D45EFA">
              <w:rPr>
                <w:bCs/>
              </w:rPr>
              <w:t>Környezetártalom elleni védelem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Kommunális szolgáltatások, közlekedés, ipar és egészség kapcsolata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Célépületek higiénéje: gyermekellátó intézmények, kórházak, bölcsődék és gyermekotthonok speciális higiénéje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Gondozási egység fogalma, biztonsága, helyiségei, fűtése, világítása, szellőztetése, burkolata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Berendezése, felszerelése, a vele szemben támasztott egészségügyi követelményei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Kiszolgáló (konyha, mosoda, ügyviteli személyzeti) helyiségek egészségügyi követelményei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Gyermekintézmény kertje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Zöldterület, játszóterület követelményei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Kórházak higiénéje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Az ápolási egység fogalma, biztonsága, helyiségei, a vele szemben támasztott egészségügyi követelmények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Munkavédelem területei, szabályozási rendszere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Munkaköri alkalmasság</w:t>
            </w:r>
          </w:p>
          <w:p w:rsidR="00FA45D2" w:rsidRPr="00D45EFA" w:rsidRDefault="00FA45D2" w:rsidP="00FA45D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D45EFA">
              <w:rPr>
                <w:bCs/>
              </w:rPr>
              <w:t>Foglalkozási ártalmak, foglalkozási betegségek</w:t>
            </w:r>
            <w:r>
              <w:rPr>
                <w:bCs/>
              </w:rPr>
              <w:t xml:space="preserve">. </w:t>
            </w:r>
            <w:r w:rsidRPr="00D45EFA">
              <w:rPr>
                <w:bCs/>
              </w:rPr>
              <w:t>Egészségügyi és szociális munkában dolgozók foglalkozási ártalmai, betegségei és azok megelőzése. Munkavédelmi, balesetelhárítási előírások</w:t>
            </w:r>
          </w:p>
          <w:p w:rsidR="00FA45D2" w:rsidRPr="008445CE" w:rsidRDefault="00FA45D2" w:rsidP="00EB44C2">
            <w:pPr>
              <w:ind w:left="1440"/>
              <w:jc w:val="both"/>
              <w:rPr>
                <w:bCs/>
              </w:rPr>
            </w:pPr>
          </w:p>
        </w:tc>
      </w:tr>
      <w:tr w:rsidR="00FA45D2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FA45D2" w:rsidRDefault="00FA45D2" w:rsidP="00EB44C2">
            <w:pPr>
              <w:ind w:left="282" w:hanging="282"/>
              <w:rPr>
                <w:bCs/>
              </w:rPr>
            </w:pPr>
            <w:r>
              <w:rPr>
                <w:bCs/>
              </w:rPr>
              <w:t xml:space="preserve">Csendes Éva: Életvezetési ismeretek és készségek. </w:t>
            </w:r>
            <w:proofErr w:type="spellStart"/>
            <w:r>
              <w:rPr>
                <w:bCs/>
              </w:rPr>
              <w:t>Calibra</w:t>
            </w:r>
            <w:proofErr w:type="spellEnd"/>
            <w:r>
              <w:rPr>
                <w:bCs/>
              </w:rPr>
              <w:t xml:space="preserve"> Kiadó, Budapest, 1996.</w:t>
            </w:r>
          </w:p>
          <w:p w:rsidR="00FA45D2" w:rsidRDefault="00FA45D2" w:rsidP="00EB44C2">
            <w:pPr>
              <w:ind w:left="282" w:hanging="282"/>
              <w:jc w:val="both"/>
              <w:rPr>
                <w:bCs/>
              </w:rPr>
            </w:pPr>
            <w:r>
              <w:rPr>
                <w:bCs/>
              </w:rPr>
              <w:t>Egészséges Nemzetért Népegészségügyi Program 2001-2010. Egészségügyi Minisztérium, 2001.</w:t>
            </w:r>
          </w:p>
          <w:p w:rsidR="00FA45D2" w:rsidRDefault="00FA45D2" w:rsidP="00EB44C2">
            <w:pPr>
              <w:ind w:left="282" w:hanging="282"/>
              <w:jc w:val="both"/>
              <w:rPr>
                <w:bCs/>
              </w:rPr>
            </w:pPr>
            <w:r>
              <w:rPr>
                <w:bCs/>
              </w:rPr>
              <w:t>Forrai Judit: A magánélet és az egészség kultúrája. Dialóg Campus Kiadó, Budapest-Pécs, 2002.</w:t>
            </w:r>
          </w:p>
          <w:p w:rsidR="00FA45D2" w:rsidRDefault="00FA45D2" w:rsidP="00EB44C2">
            <w:pPr>
              <w:ind w:left="282" w:hanging="282"/>
              <w:jc w:val="both"/>
              <w:rPr>
                <w:bCs/>
              </w:rPr>
            </w:pPr>
            <w:r>
              <w:rPr>
                <w:bCs/>
              </w:rPr>
              <w:t xml:space="preserve">Nyíri Mihályné: Egészségnevelés. </w:t>
            </w:r>
            <w:proofErr w:type="spellStart"/>
            <w:r>
              <w:rPr>
                <w:bCs/>
              </w:rPr>
              <w:t>Calibra</w:t>
            </w:r>
            <w:proofErr w:type="spellEnd"/>
            <w:r>
              <w:rPr>
                <w:bCs/>
              </w:rPr>
              <w:t xml:space="preserve"> Kiadó, Budapest, 1993.</w:t>
            </w:r>
          </w:p>
          <w:p w:rsidR="00FA45D2" w:rsidRDefault="00FA45D2" w:rsidP="00EB44C2">
            <w:pPr>
              <w:ind w:left="282" w:hanging="282"/>
              <w:jc w:val="both"/>
              <w:rPr>
                <w:bCs/>
              </w:rPr>
            </w:pPr>
            <w:r>
              <w:rPr>
                <w:bCs/>
              </w:rPr>
              <w:t>Vörös Béláné Mecseki Jolán: A nevelés gyakorlata a Nemzeti Alaptanterv Tükrében. OKI, Budapest, 1997.</w:t>
            </w:r>
          </w:p>
        </w:tc>
      </w:tr>
      <w:tr w:rsidR="00FA45D2" w:rsidTr="00EB44C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D2" w:rsidRDefault="00FA45D2" w:rsidP="00EB44C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Tantárgyfelelős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Budaházy-Mester</w:t>
            </w:r>
            <w:proofErr w:type="spellEnd"/>
            <w:r>
              <w:rPr>
                <w:bCs/>
              </w:rPr>
              <w:t xml:space="preserve"> Dolli</w:t>
            </w:r>
          </w:p>
          <w:p w:rsidR="00FA45D2" w:rsidRDefault="00FA45D2" w:rsidP="00EB44C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Oktató: </w:t>
            </w:r>
            <w:proofErr w:type="spellStart"/>
            <w:r w:rsidRPr="00FC22FF">
              <w:rPr>
                <w:bCs/>
              </w:rPr>
              <w:t>Budaházy-Mester</w:t>
            </w:r>
            <w:proofErr w:type="spellEnd"/>
            <w:r w:rsidRPr="00FC22FF">
              <w:rPr>
                <w:bCs/>
              </w:rPr>
              <w:t xml:space="preserve"> Dolli</w:t>
            </w:r>
          </w:p>
          <w:p w:rsidR="00FA45D2" w:rsidRDefault="00FA45D2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FA45D2" w:rsidRDefault="00FA45D2" w:rsidP="00FA45D2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F6C4451"/>
    <w:multiLevelType w:val="hybridMultilevel"/>
    <w:tmpl w:val="56A67D7E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2"/>
    <w:rsid w:val="002C7179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D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FA45D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FA45D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A45D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FA45D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A45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A45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A45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A45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D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A45D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A45D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A45D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A45D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A45D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A45D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A45D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A45D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A45D2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D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FA45D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FA45D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A45D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FA45D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A45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A45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A45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A45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D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A45D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A45D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A45D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A45D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A45D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A45D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A45D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A45D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A45D2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2011-08-25T06:10:00Z</dcterms:created>
  <dcterms:modified xsi:type="dcterms:W3CDTF">2011-08-25T06:10:00Z</dcterms:modified>
</cp:coreProperties>
</file>