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5E" w:rsidRDefault="0006015E" w:rsidP="0006015E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06015E" w:rsidRPr="00CB38EF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6015E" w:rsidRPr="00CB38EF" w:rsidRDefault="0006015E" w:rsidP="00EB44C2">
            <w:pPr>
              <w:pStyle w:val="Cmsor3"/>
              <w:numPr>
                <w:ilvl w:val="0"/>
                <w:numId w:val="0"/>
              </w:numPr>
              <w:spacing w:before="120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Tantárgy neve: </w:t>
            </w:r>
            <w:r w:rsidRPr="00CB38EF">
              <w:rPr>
                <w:rFonts w:ascii="Georgia" w:eastAsia="Batang" w:hAnsi="Georgia"/>
                <w:sz w:val="28"/>
                <w:szCs w:val="28"/>
              </w:rPr>
              <w:t xml:space="preserve">KOMMUNIKÁCIÓ ELMÉLETE </w:t>
            </w:r>
            <w:proofErr w:type="gramStart"/>
            <w:r w:rsidRPr="00CB38EF">
              <w:rPr>
                <w:rFonts w:ascii="Georgia" w:eastAsia="Batang" w:hAnsi="Georgia"/>
                <w:sz w:val="28"/>
                <w:szCs w:val="28"/>
              </w:rPr>
              <w:t>ÉS</w:t>
            </w:r>
            <w:proofErr w:type="gramEnd"/>
            <w:r w:rsidRPr="00CB38EF">
              <w:rPr>
                <w:rFonts w:ascii="Georgia" w:eastAsia="Batang" w:hAnsi="Georgia"/>
                <w:sz w:val="28"/>
                <w:szCs w:val="28"/>
              </w:rPr>
              <w:t xml:space="preserve"> GYAKORLATA</w:t>
            </w:r>
          </w:p>
        </w:tc>
      </w:tr>
      <w:tr w:rsidR="0006015E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pStyle w:val="Cmsor3"/>
              <w:numPr>
                <w:ilvl w:val="0"/>
                <w:numId w:val="0"/>
              </w:numPr>
              <w:spacing w:before="120"/>
              <w:rPr>
                <w:szCs w:val="24"/>
              </w:rPr>
            </w:pPr>
            <w:r w:rsidRPr="00595467">
              <w:rPr>
                <w:szCs w:val="24"/>
              </w:rPr>
              <w:t xml:space="preserve">Tantárgy kódja: </w:t>
            </w:r>
            <w:bookmarkStart w:id="0" w:name="_GoBack"/>
            <w:r>
              <w:rPr>
                <w:szCs w:val="24"/>
              </w:rPr>
              <w:t>NFP_CG204G3</w:t>
            </w:r>
            <w:bookmarkEnd w:id="0"/>
          </w:p>
        </w:tc>
      </w:tr>
      <w:tr w:rsidR="0006015E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06015E" w:rsidRDefault="0006015E" w:rsidP="00EB44C2">
            <w:pPr>
              <w:rPr>
                <w:b/>
                <w:bCs/>
              </w:rPr>
            </w:pPr>
          </w:p>
          <w:p w:rsidR="0006015E" w:rsidRDefault="0006015E" w:rsidP="00EB44C2">
            <w:pPr>
              <w:rPr>
                <w:bCs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06015E" w:rsidRDefault="0006015E" w:rsidP="00EB44C2">
            <w:pPr>
              <w:rPr>
                <w:b/>
                <w:bCs/>
              </w:rPr>
            </w:pPr>
          </w:p>
          <w:p w:rsidR="0006015E" w:rsidRDefault="0006015E" w:rsidP="00EB44C2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</w:t>
            </w:r>
          </w:p>
          <w:p w:rsidR="0006015E" w:rsidRDefault="0006015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06015E" w:rsidRPr="00843B06" w:rsidRDefault="0006015E" w:rsidP="00EB44C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06015E" w:rsidRDefault="0006015E" w:rsidP="00EB44C2">
            <w:r>
              <w:tab/>
              <w:t>Előadás</w:t>
            </w:r>
          </w:p>
          <w:p w:rsidR="0006015E" w:rsidRDefault="0006015E" w:rsidP="00EB44C2">
            <w:r>
              <w:tab/>
              <w:t>Szeminárium</w:t>
            </w:r>
            <w:r>
              <w:tab/>
              <w:t>X</w:t>
            </w:r>
          </w:p>
          <w:p w:rsidR="0006015E" w:rsidRDefault="0006015E" w:rsidP="00EB44C2">
            <w:pPr>
              <w:rPr>
                <w:b/>
                <w:bCs/>
              </w:rPr>
            </w:pPr>
            <w:r>
              <w:tab/>
              <w:t>Gyakorlat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06015E" w:rsidRDefault="0006015E" w:rsidP="00EB44C2">
            <w:r>
              <w:t>Kollokvium</w:t>
            </w:r>
          </w:p>
          <w:p w:rsidR="0006015E" w:rsidRDefault="0006015E" w:rsidP="00EB44C2">
            <w:pPr>
              <w:rPr>
                <w:b/>
                <w:bCs/>
              </w:rPr>
            </w:pPr>
            <w:r>
              <w:t>Gyakorlati jegy</w:t>
            </w:r>
            <w:r>
              <w:tab/>
              <w:t>X</w:t>
            </w:r>
          </w:p>
        </w:tc>
      </w:tr>
      <w:tr w:rsidR="0006015E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spacing w:after="120"/>
              <w:jc w:val="both"/>
              <w:rPr>
                <w:b/>
              </w:rPr>
            </w:pPr>
            <w:r w:rsidRPr="00AA22BA">
              <w:rPr>
                <w:b/>
              </w:rPr>
              <w:t>A tantárgy oktatásának célja:</w:t>
            </w:r>
          </w:p>
          <w:p w:rsidR="0006015E" w:rsidRPr="00607AEF" w:rsidRDefault="0006015E" w:rsidP="00EB44C2">
            <w:pPr>
              <w:spacing w:after="120"/>
              <w:jc w:val="both"/>
              <w:rPr>
                <w:b/>
                <w:bCs/>
              </w:rPr>
            </w:pPr>
            <w:r w:rsidRPr="00607AEF">
              <w:t xml:space="preserve">A hallgatók </w:t>
            </w:r>
            <w:r>
              <w:t xml:space="preserve">elméleti és gyakorlati </w:t>
            </w:r>
            <w:r w:rsidRPr="00607AEF">
              <w:t>ismereteket szerezzenek</w:t>
            </w:r>
            <w:r>
              <w:t xml:space="preserve"> a kommunikáció alapfogalmairól és jellemzőiről. Megismerjék a kommunikációs hel</w:t>
            </w:r>
            <w:r>
              <w:t>y</w:t>
            </w:r>
            <w:r>
              <w:t>zetek típusait, a kommunikáció működési mechanizmusait, elsajátítsák a legfontosabb tárgyalástechnikai elemeket. A tanegység tudatosítja a nevelői képességfejlesztés kommunikációs gyakorlatainak tapasztalatait és továbbfejleszti a tárgyalási technikák elemeinek gyakorlásával.</w:t>
            </w:r>
          </w:p>
          <w:p w:rsidR="0006015E" w:rsidRDefault="0006015E" w:rsidP="00EB44C2">
            <w:pPr>
              <w:jc w:val="both"/>
            </w:pPr>
            <w:r>
              <w:t>Különböző helyzetgyakorlatok keretében a verbális és nonverbális kommunikációs helyzetekben jártasságokra, készségekre tegyenek szert.</w:t>
            </w:r>
          </w:p>
          <w:p w:rsidR="0006015E" w:rsidRDefault="0006015E" w:rsidP="00EB44C2">
            <w:pPr>
              <w:jc w:val="both"/>
            </w:pPr>
          </w:p>
          <w:p w:rsidR="0006015E" w:rsidRDefault="0006015E" w:rsidP="00EB44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Tananyagtartalom: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kommunikáció fogalma, működése.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Kommunikációs helyzettípusok.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Belső és személyközi kommunikáció.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Együttműködés és kommunikáció a csoportban.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Tárgyalástechnika.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nyilvános kommunikáció helyzet- és beszédtípusai.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meggyőzés eszközei.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verbális kommunikáció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Nem verbális kommunikáció.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prezentáció eszköztára.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Szervezeti kommunikáció.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szervezetek külső és belső komm</w:t>
            </w:r>
            <w:r>
              <w:t>u</w:t>
            </w:r>
            <w:r>
              <w:t>nikációja.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csecsemő és kisgyermeknevelő – gondozó speciális kommunikációs helyz</w:t>
            </w:r>
            <w:r>
              <w:t>e</w:t>
            </w:r>
            <w:r>
              <w:t>tei.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Kommunikáció a gye</w:t>
            </w:r>
            <w:r>
              <w:t>r</w:t>
            </w:r>
            <w:r>
              <w:t>mekkel és a szülőkkel.</w:t>
            </w:r>
          </w:p>
          <w:p w:rsidR="0006015E" w:rsidRDefault="0006015E" w:rsidP="00EB44C2">
            <w:pPr>
              <w:numPr>
                <w:ilvl w:val="1"/>
                <w:numId w:val="2"/>
              </w:numPr>
              <w:tabs>
                <w:tab w:val="clear" w:pos="2082"/>
                <w:tab w:val="num" w:pos="1182"/>
              </w:tabs>
              <w:ind w:left="1182" w:hanging="540"/>
              <w:jc w:val="both"/>
            </w:pPr>
            <w:r>
              <w:t>A tanultak integrálása, a félévi munka értékelése, zárás.</w:t>
            </w:r>
          </w:p>
        </w:tc>
      </w:tr>
      <w:tr w:rsidR="0006015E" w:rsidTr="00EB44C2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pStyle w:val="Stlus1"/>
              <w:keepNext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06015E" w:rsidRDefault="0006015E" w:rsidP="00EB44C2">
            <w:pPr>
              <w:ind w:left="282" w:hanging="282"/>
              <w:jc w:val="both"/>
            </w:pPr>
            <w:proofErr w:type="spellStart"/>
            <w:r>
              <w:t>Birkenbihl</w:t>
            </w:r>
            <w:proofErr w:type="spellEnd"/>
            <w:r>
              <w:t>, Vera F</w:t>
            </w:r>
            <w:proofErr w:type="gramStart"/>
            <w:r>
              <w:t>.:</w:t>
            </w:r>
            <w:proofErr w:type="gramEnd"/>
            <w:r>
              <w:t xml:space="preserve"> Kommunikációs gyakorlatok. </w:t>
            </w:r>
            <w:proofErr w:type="spellStart"/>
            <w:r>
              <w:t>Trivium</w:t>
            </w:r>
            <w:proofErr w:type="spellEnd"/>
            <w:r>
              <w:t xml:space="preserve"> Kiadó, 2000.</w:t>
            </w:r>
          </w:p>
          <w:p w:rsidR="0006015E" w:rsidRDefault="0006015E" w:rsidP="00EB44C2">
            <w:pPr>
              <w:ind w:left="282" w:hanging="282"/>
              <w:jc w:val="both"/>
            </w:pPr>
            <w:r>
              <w:t xml:space="preserve">H. Varga Gyula: Kommunikációs ismeretek. </w:t>
            </w:r>
            <w:proofErr w:type="spellStart"/>
            <w:r>
              <w:t>Hungarovox</w:t>
            </w:r>
            <w:proofErr w:type="spellEnd"/>
            <w:r>
              <w:t xml:space="preserve"> Kiadó, Bp. 2001. 9–80.</w:t>
            </w:r>
          </w:p>
          <w:p w:rsidR="0006015E" w:rsidRDefault="0006015E" w:rsidP="00EB44C2">
            <w:pPr>
              <w:ind w:left="282" w:hanging="282"/>
              <w:jc w:val="both"/>
            </w:pPr>
            <w:r>
              <w:t>Hidasi Judit szerk.: Kultúra, viselkedés, kommunikáció. KJK, Bp. 1992.</w:t>
            </w:r>
          </w:p>
          <w:p w:rsidR="0006015E" w:rsidRDefault="0006015E" w:rsidP="00EB44C2">
            <w:pPr>
              <w:ind w:left="282" w:hanging="282"/>
              <w:jc w:val="both"/>
            </w:pPr>
            <w:r>
              <w:t>Németh Erzsébet: Az önismeret és a kommunikációs készség fejlesztése. Századvég K</w:t>
            </w:r>
            <w:r>
              <w:t>i</w:t>
            </w:r>
            <w:r>
              <w:t>adó, 2002.</w:t>
            </w:r>
          </w:p>
          <w:p w:rsidR="0006015E" w:rsidRDefault="0006015E" w:rsidP="00EB44C2">
            <w:pPr>
              <w:ind w:left="282" w:hanging="282"/>
              <w:jc w:val="both"/>
            </w:pPr>
            <w:r>
              <w:t>Raymond Hull: A sikeres nyilvános beszéd alapjai. Bagolyvár Kiadó, Bp. 1997.</w:t>
            </w:r>
          </w:p>
        </w:tc>
      </w:tr>
      <w:tr w:rsidR="0006015E" w:rsidTr="00EB44C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5E" w:rsidRDefault="0006015E" w:rsidP="00EB44C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 w:rsidRPr="009028D4">
              <w:rPr>
                <w:bCs/>
              </w:rPr>
              <w:t>dr.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Varga Gyula</w:t>
            </w:r>
          </w:p>
          <w:p w:rsidR="0006015E" w:rsidRPr="00A11C81" w:rsidRDefault="0006015E" w:rsidP="00EB44C2">
            <w:pPr>
              <w:rPr>
                <w:b/>
                <w:bCs/>
              </w:rPr>
            </w:pPr>
            <w:r>
              <w:t xml:space="preserve">Oktatók: </w:t>
            </w:r>
          </w:p>
        </w:tc>
      </w:tr>
    </w:tbl>
    <w:p w:rsidR="0006015E" w:rsidRDefault="0006015E" w:rsidP="0006015E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1B2470F"/>
    <w:multiLevelType w:val="hybridMultilevel"/>
    <w:tmpl w:val="DE284DC8"/>
    <w:lvl w:ilvl="0" w:tplc="040E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FAF6528C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E"/>
    <w:rsid w:val="0006015E"/>
    <w:rsid w:val="00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6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6015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6015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6015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6015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6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6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601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15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6015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601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6015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6015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6015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6015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6015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6015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Stlus1">
    <w:name w:val="Stílus1"/>
    <w:basedOn w:val="llb"/>
    <w:rsid w:val="0006015E"/>
    <w:pPr>
      <w:keepNext/>
      <w:tabs>
        <w:tab w:val="clear" w:pos="4536"/>
        <w:tab w:val="clear" w:pos="9072"/>
      </w:tabs>
      <w:spacing w:before="60" w:after="60"/>
    </w:pPr>
    <w:rPr>
      <w:rFonts w:ascii="Arial" w:hAnsi="Arial" w:cs="Arial"/>
      <w:b/>
      <w:sz w:val="20"/>
      <w:szCs w:val="20"/>
      <w:lang w:eastAsia="en-US"/>
    </w:rPr>
  </w:style>
  <w:style w:type="paragraph" w:styleId="lfej">
    <w:name w:val="header"/>
    <w:basedOn w:val="Norml"/>
    <w:link w:val="lfejChar"/>
    <w:rsid w:val="000601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601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601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601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6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6015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6015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6015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6015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6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6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601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15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6015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601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6015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6015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6015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6015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6015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6015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Stlus1">
    <w:name w:val="Stílus1"/>
    <w:basedOn w:val="llb"/>
    <w:rsid w:val="0006015E"/>
    <w:pPr>
      <w:keepNext/>
      <w:tabs>
        <w:tab w:val="clear" w:pos="4536"/>
        <w:tab w:val="clear" w:pos="9072"/>
      </w:tabs>
      <w:spacing w:before="60" w:after="60"/>
    </w:pPr>
    <w:rPr>
      <w:rFonts w:ascii="Arial" w:hAnsi="Arial" w:cs="Arial"/>
      <w:b/>
      <w:sz w:val="20"/>
      <w:szCs w:val="20"/>
      <w:lang w:eastAsia="en-US"/>
    </w:rPr>
  </w:style>
  <w:style w:type="paragraph" w:styleId="lfej">
    <w:name w:val="header"/>
    <w:basedOn w:val="Norml"/>
    <w:link w:val="lfejChar"/>
    <w:rsid w:val="0006015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601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601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601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2011-08-25T06:00:00Z</dcterms:created>
  <dcterms:modified xsi:type="dcterms:W3CDTF">2011-08-25T06:00:00Z</dcterms:modified>
</cp:coreProperties>
</file>