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0" w:rsidRDefault="006D62C0" w:rsidP="006D62C0"/>
    <w:tbl>
      <w:tblPr>
        <w:tblW w:w="921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2835"/>
        <w:gridCol w:w="3188"/>
      </w:tblGrid>
      <w:tr w:rsidR="006D62C0" w:rsidRPr="006247DB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D62C0" w:rsidRDefault="006D62C0" w:rsidP="00EB44C2">
            <w:pPr>
              <w:rPr>
                <w:b/>
              </w:rPr>
            </w:pPr>
            <w:r>
              <w:rPr>
                <w:b/>
              </w:rPr>
              <w:t>A tanegység</w:t>
            </w:r>
            <w:r w:rsidRPr="009E64C2">
              <w:rPr>
                <w:b/>
              </w:rPr>
              <w:t xml:space="preserve"> neve: </w:t>
            </w:r>
          </w:p>
          <w:p w:rsidR="006D62C0" w:rsidRPr="006247DB" w:rsidRDefault="006D62C0" w:rsidP="00EB44C2">
            <w:pPr>
              <w:rPr>
                <w:b/>
              </w:rPr>
            </w:pPr>
            <w:r>
              <w:rPr>
                <w:rFonts w:ascii="Georgia" w:hAnsi="Georgia"/>
                <w:b/>
                <w:caps/>
                <w:sz w:val="28"/>
                <w:szCs w:val="28"/>
              </w:rPr>
              <w:t xml:space="preserve">Bevezetés </w:t>
            </w:r>
            <w:proofErr w:type="gramStart"/>
            <w:r>
              <w:rPr>
                <w:rFonts w:ascii="Georgia" w:hAnsi="Georgia"/>
                <w:b/>
                <w:caps/>
                <w:sz w:val="28"/>
                <w:szCs w:val="28"/>
              </w:rPr>
              <w:t>a</w:t>
            </w:r>
            <w:proofErr w:type="gramEnd"/>
            <w:r>
              <w:rPr>
                <w:rFonts w:ascii="Georgia" w:hAnsi="Georgia"/>
                <w:b/>
                <w:caps/>
                <w:sz w:val="28"/>
                <w:szCs w:val="28"/>
              </w:rPr>
              <w:t xml:space="preserve"> jogi igazgatási ismeretekbe</w:t>
            </w:r>
          </w:p>
        </w:tc>
      </w:tr>
      <w:tr w:rsidR="006D62C0" w:rsidRPr="006247DB" w:rsidTr="00EB44C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0" w:rsidRPr="006247DB" w:rsidRDefault="006D62C0" w:rsidP="00EB44C2">
            <w:pPr>
              <w:rPr>
                <w:b/>
              </w:rPr>
            </w:pPr>
            <w:r w:rsidRPr="006247DB">
              <w:rPr>
                <w:b/>
              </w:rPr>
              <w:t>Tantárgy kódja: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NFP_CG107K2</w:t>
            </w:r>
            <w:bookmarkEnd w:id="0"/>
          </w:p>
        </w:tc>
      </w:tr>
      <w:tr w:rsidR="006D62C0" w:rsidRPr="00F36C06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0" w:rsidRPr="0098562A" w:rsidRDefault="006D62C0" w:rsidP="00EB44C2">
            <w:pPr>
              <w:jc w:val="center"/>
              <w:rPr>
                <w:b/>
                <w:bCs/>
              </w:rPr>
            </w:pPr>
            <w:r w:rsidRPr="0098562A">
              <w:rPr>
                <w:b/>
                <w:bCs/>
              </w:rPr>
              <w:t>Kredit:</w:t>
            </w:r>
          </w:p>
          <w:p w:rsidR="006D62C0" w:rsidRDefault="006D62C0" w:rsidP="00EB44C2">
            <w:pPr>
              <w:jc w:val="center"/>
              <w:rPr>
                <w:bCs/>
              </w:rPr>
            </w:pPr>
          </w:p>
          <w:p w:rsidR="006D62C0" w:rsidRPr="00E76FEB" w:rsidRDefault="006D62C0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0" w:rsidRPr="0098562A" w:rsidRDefault="006D62C0" w:rsidP="00EB44C2">
            <w:pPr>
              <w:jc w:val="center"/>
              <w:rPr>
                <w:b/>
                <w:bCs/>
              </w:rPr>
            </w:pPr>
            <w:r w:rsidRPr="0098562A">
              <w:rPr>
                <w:b/>
                <w:bCs/>
              </w:rPr>
              <w:t>Félév:</w:t>
            </w:r>
          </w:p>
          <w:p w:rsidR="006D62C0" w:rsidRDefault="006D62C0" w:rsidP="00EB44C2">
            <w:pPr>
              <w:jc w:val="center"/>
              <w:rPr>
                <w:bCs/>
              </w:rPr>
            </w:pPr>
          </w:p>
          <w:p w:rsidR="006D62C0" w:rsidRPr="00E76FEB" w:rsidRDefault="006D62C0" w:rsidP="00EB44C2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0" w:rsidRDefault="006D62C0" w:rsidP="00EB44C2">
            <w:pPr>
              <w:jc w:val="center"/>
              <w:rPr>
                <w:bCs/>
              </w:rPr>
            </w:pPr>
            <w:r w:rsidRPr="0098562A">
              <w:rPr>
                <w:b/>
                <w:bCs/>
              </w:rPr>
              <w:t>Heti óraszám</w:t>
            </w:r>
          </w:p>
          <w:p w:rsidR="006D62C0" w:rsidRPr="00E76FEB" w:rsidRDefault="006D62C0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0" w:rsidRDefault="006D62C0" w:rsidP="00EB44C2">
            <w:r>
              <w:rPr>
                <w:b/>
                <w:bCs/>
              </w:rPr>
              <w:t>Óratípus:</w:t>
            </w:r>
          </w:p>
          <w:p w:rsidR="006D62C0" w:rsidRDefault="006D62C0" w:rsidP="00EB44C2">
            <w:pPr>
              <w:tabs>
                <w:tab w:val="left" w:pos="333"/>
                <w:tab w:val="left" w:pos="2133"/>
              </w:tabs>
            </w:pPr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X</w:t>
            </w:r>
          </w:p>
          <w:p w:rsidR="006D62C0" w:rsidRDefault="006D62C0" w:rsidP="00EB44C2">
            <w:pPr>
              <w:tabs>
                <w:tab w:val="left" w:pos="333"/>
                <w:tab w:val="left" w:pos="2133"/>
              </w:tabs>
            </w:pPr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6D62C0" w:rsidRPr="00F36C06" w:rsidRDefault="006D62C0" w:rsidP="00EB44C2">
            <w:pPr>
              <w:tabs>
                <w:tab w:val="left" w:pos="333"/>
                <w:tab w:val="left" w:pos="2133"/>
                <w:tab w:val="right" w:pos="2353"/>
              </w:tabs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0" w:rsidRDefault="006D62C0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Értékelés:</w:t>
            </w:r>
          </w:p>
          <w:p w:rsidR="006D62C0" w:rsidRDefault="006D62C0" w:rsidP="00EB44C2">
            <w:r>
              <w:tab/>
            </w:r>
            <w:proofErr w:type="gramStart"/>
            <w:r>
              <w:t>Kollokvium</w:t>
            </w:r>
            <w:r>
              <w:tab/>
              <w:t xml:space="preserve">      X</w:t>
            </w:r>
            <w:proofErr w:type="gramEnd"/>
          </w:p>
          <w:p w:rsidR="006D62C0" w:rsidRPr="00F36C06" w:rsidRDefault="006D62C0" w:rsidP="00EB44C2">
            <w:pPr>
              <w:ind w:left="198"/>
              <w:rPr>
                <w:b/>
                <w:bCs/>
              </w:rPr>
            </w:pPr>
            <w:r>
              <w:tab/>
              <w:t>Gyakorlati jegy     </w:t>
            </w:r>
          </w:p>
        </w:tc>
      </w:tr>
      <w:tr w:rsidR="006D62C0" w:rsidRPr="00F36C06" w:rsidTr="00EB44C2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0" w:rsidRPr="00C87170" w:rsidRDefault="006D62C0" w:rsidP="00EB44C2">
            <w:pPr>
              <w:rPr>
                <w:b/>
                <w:bCs/>
                <w:sz w:val="12"/>
                <w:szCs w:val="12"/>
              </w:rPr>
            </w:pPr>
          </w:p>
          <w:p w:rsidR="006D62C0" w:rsidRPr="00F36C06" w:rsidRDefault="006D62C0" w:rsidP="00EB44C2">
            <w:pPr>
              <w:rPr>
                <w:i/>
                <w:iCs/>
              </w:rPr>
            </w:pPr>
            <w:r>
              <w:rPr>
                <w:b/>
              </w:rPr>
              <w:t>A tantárgy oktatásának célja</w:t>
            </w:r>
            <w:r w:rsidRPr="00F36C06">
              <w:rPr>
                <w:b/>
                <w:bCs/>
              </w:rPr>
              <w:t>:</w:t>
            </w:r>
          </w:p>
          <w:p w:rsidR="006D62C0" w:rsidRDefault="006D62C0" w:rsidP="00EB44C2">
            <w:pPr>
              <w:ind w:firstLine="642"/>
              <w:jc w:val="both"/>
            </w:pPr>
            <w:r>
              <w:t>A tárgy tanításának célja a jogi alapfogalmak tisztázása, a Magyar Köztársaság alapvető intézményrendszerének, a jogalkotás rendjének, jogforrásoknak, alapvető eljárási szabályoknak az ismertetése. A tantárgycélja másrészt, hogy a hallgatókat tudatos állampolgári magatartásra nevelje.</w:t>
            </w:r>
          </w:p>
          <w:p w:rsidR="006D62C0" w:rsidRDefault="006D62C0" w:rsidP="00EB44C2">
            <w:pPr>
              <w:ind w:firstLine="642"/>
              <w:jc w:val="both"/>
            </w:pPr>
          </w:p>
          <w:p w:rsidR="006D62C0" w:rsidRDefault="006D62C0" w:rsidP="00EB44C2">
            <w:pPr>
              <w:jc w:val="both"/>
            </w:pPr>
            <w:r w:rsidRPr="000E58D3">
              <w:rPr>
                <w:b/>
              </w:rPr>
              <w:t>Tananyagtartalom</w:t>
            </w:r>
            <w:r>
              <w:t>: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magyar államfejlődés rövid történeti áttekintése</w:t>
            </w:r>
            <w:r w:rsidRPr="00D45EFA">
              <w:t>.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Az alapvető jogi fogalmak tisztázása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jogforrások és a jogalkotás rendje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Választás, népszavazás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Magyar Köztársaság intézményrendszere – az országgyűlés és a köztársasági elnök hatásköre, feladatai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Magyar Köztársaság intézményrendszere –a kormány hatásköre, feladatai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Magyar Köztársaság intézményrendszerének többi eleme (ombudsmanok, alkotmánybíróság, nemzeti bank, állami számvevőszék)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Helyi önkormányzat választása, feladatai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Helyi önkormányzat szervei, a polgármesteri hivatal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közigazgatási eljárás főbb szabályai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bírói szervezet és az ügyészség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Polgári és büntető eljárásjog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jogi segítségnyújtás szabályai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Adó, illetékszabályozás</w:t>
            </w:r>
          </w:p>
          <w:p w:rsidR="006D62C0" w:rsidRDefault="006D62C0" w:rsidP="006D62C0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Hazánk, mint az Európai Unió tagja</w:t>
            </w:r>
          </w:p>
          <w:p w:rsidR="006D62C0" w:rsidRPr="00F36C06" w:rsidRDefault="006D62C0" w:rsidP="00EB44C2">
            <w:pPr>
              <w:tabs>
                <w:tab w:val="left" w:pos="1722"/>
              </w:tabs>
              <w:ind w:left="360"/>
            </w:pPr>
          </w:p>
        </w:tc>
      </w:tr>
      <w:tr w:rsidR="006D62C0" w:rsidRPr="00F36C06" w:rsidTr="00EB44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0" w:rsidRPr="00C87170" w:rsidRDefault="006D62C0" w:rsidP="00EB44C2">
            <w:pPr>
              <w:rPr>
                <w:b/>
                <w:bCs/>
                <w:sz w:val="12"/>
                <w:szCs w:val="12"/>
              </w:rPr>
            </w:pPr>
          </w:p>
          <w:p w:rsidR="006D62C0" w:rsidRPr="00F36C06" w:rsidRDefault="006D62C0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 xml:space="preserve">és ajánlott </w:t>
            </w:r>
            <w:r w:rsidRPr="00F36C06">
              <w:rPr>
                <w:b/>
                <w:bCs/>
              </w:rPr>
              <w:t>olvasmányok:</w:t>
            </w:r>
          </w:p>
          <w:p w:rsidR="006D62C0" w:rsidRPr="007F2748" w:rsidRDefault="006D62C0" w:rsidP="00EB44C2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2748">
              <w:rPr>
                <w:rFonts w:ascii="Times New Roman" w:hAnsi="Times New Roman"/>
                <w:sz w:val="24"/>
                <w:szCs w:val="24"/>
              </w:rPr>
              <w:t>Hatályos jogszabályok (CD jogtár)</w:t>
            </w:r>
          </w:p>
          <w:p w:rsidR="006D62C0" w:rsidRDefault="006D62C0" w:rsidP="00EB44C2">
            <w:pPr>
              <w:ind w:left="282" w:hanging="282"/>
              <w:jc w:val="both"/>
            </w:pPr>
            <w:r>
              <w:t>Magyar Köztársaság Alkotmánya (1949. évi XX. törvény)</w:t>
            </w:r>
          </w:p>
          <w:p w:rsidR="006D62C0" w:rsidRDefault="006D62C0" w:rsidP="00EB44C2">
            <w:pPr>
              <w:ind w:left="282" w:hanging="282"/>
              <w:jc w:val="both"/>
            </w:pPr>
            <w:r>
              <w:t>Dr. Verebélyi Imre: A közigazgatás korszerűsítése 110/1996. (X.2.) Korm. rend.</w:t>
            </w:r>
          </w:p>
          <w:p w:rsidR="006D62C0" w:rsidRDefault="006D62C0" w:rsidP="00EB44C2">
            <w:pPr>
              <w:ind w:left="282" w:hanging="282"/>
              <w:jc w:val="both"/>
            </w:pPr>
          </w:p>
          <w:p w:rsidR="006D62C0" w:rsidRPr="00F36C06" w:rsidRDefault="006D62C0" w:rsidP="00EB44C2">
            <w:pPr>
              <w:pStyle w:val="Trgylers"/>
              <w:ind w:left="0" w:firstLine="0"/>
            </w:pPr>
          </w:p>
        </w:tc>
      </w:tr>
      <w:tr w:rsidR="006D62C0" w:rsidRPr="001A7178" w:rsidTr="00EB44C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0" w:rsidRPr="00C87170" w:rsidRDefault="006D62C0" w:rsidP="00EB44C2">
            <w:pPr>
              <w:rPr>
                <w:b/>
                <w:bCs/>
                <w:sz w:val="12"/>
                <w:szCs w:val="12"/>
              </w:rPr>
            </w:pPr>
          </w:p>
          <w:p w:rsidR="006D62C0" w:rsidRPr="00C121CA" w:rsidRDefault="006D62C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Tantárgyfelelős: dr. Estefán Géza</w:t>
            </w:r>
          </w:p>
          <w:p w:rsidR="006D62C0" w:rsidRPr="001A7178" w:rsidRDefault="006D62C0" w:rsidP="00EB44C2">
            <w:pPr>
              <w:rPr>
                <w:bCs/>
              </w:rPr>
            </w:pPr>
            <w:r w:rsidRPr="001A7178">
              <w:rPr>
                <w:b/>
              </w:rPr>
              <w:t xml:space="preserve">Oktatók: </w:t>
            </w:r>
            <w:proofErr w:type="spellStart"/>
            <w:r>
              <w:t>Mentuszné</w:t>
            </w:r>
            <w:proofErr w:type="spellEnd"/>
            <w:r>
              <w:t xml:space="preserve"> Dr. </w:t>
            </w:r>
            <w:proofErr w:type="spellStart"/>
            <w:r>
              <w:t>Terék</w:t>
            </w:r>
            <w:proofErr w:type="spellEnd"/>
            <w:r>
              <w:t xml:space="preserve"> Irén</w:t>
            </w:r>
          </w:p>
        </w:tc>
      </w:tr>
    </w:tbl>
    <w:p w:rsidR="006D62C0" w:rsidRDefault="006D62C0" w:rsidP="006D62C0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862"/>
    <w:multiLevelType w:val="hybridMultilevel"/>
    <w:tmpl w:val="52667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C0"/>
    <w:rsid w:val="002C7179"/>
    <w:rsid w:val="006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6D62C0"/>
    <w:pPr>
      <w:ind w:left="567" w:firstLine="28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6D62C0"/>
    <w:pPr>
      <w:ind w:left="567" w:firstLine="28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2011-08-25T06:08:00Z</dcterms:created>
  <dcterms:modified xsi:type="dcterms:W3CDTF">2011-08-25T06:09:00Z</dcterms:modified>
</cp:coreProperties>
</file>