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4954"/>
        <w:gridCol w:w="2146"/>
        <w:gridCol w:w="2072"/>
      </w:tblGrid>
      <w:tr w:rsidR="00FB1B48" w:rsidRPr="00A35237" w:rsidTr="00F7210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B1B48" w:rsidRPr="00A35237" w:rsidRDefault="00FB1B48" w:rsidP="00F7210D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Fordítás, értelmezés, </w:t>
            </w:r>
            <w:proofErr w:type="spellStart"/>
            <w:r>
              <w:rPr>
                <w:b/>
                <w:sz w:val="24"/>
                <w:szCs w:val="24"/>
              </w:rPr>
              <w:t>interkulturalitás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8" w:rsidRDefault="00FB1B4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Kódja: </w:t>
            </w:r>
          </w:p>
          <w:p w:rsidR="00FB1B48" w:rsidRPr="00A35237" w:rsidRDefault="00FB1B4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NBB_GE121G2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B1B48" w:rsidRPr="00A35237" w:rsidRDefault="00FB1B4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FB1B48" w:rsidRPr="00A35237" w:rsidTr="00F7210D">
        <w:tc>
          <w:tcPr>
            <w:tcW w:w="9180" w:type="dxa"/>
            <w:gridSpan w:val="4"/>
          </w:tcPr>
          <w:p w:rsidR="00FB1B48" w:rsidRPr="00A35237" w:rsidRDefault="00FB1B48" w:rsidP="00F7210D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típusa: </w:t>
            </w:r>
            <w:r>
              <w:rPr>
                <w:b/>
                <w:sz w:val="24"/>
                <w:szCs w:val="24"/>
              </w:rPr>
              <w:t xml:space="preserve">szem. </w:t>
            </w:r>
            <w:r w:rsidRPr="00A35237">
              <w:rPr>
                <w:sz w:val="24"/>
                <w:szCs w:val="24"/>
              </w:rPr>
              <w:t>száma:</w:t>
            </w:r>
            <w:r w:rsidRPr="00E541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FB1B48" w:rsidRPr="00A35237" w:rsidTr="00F7210D">
        <w:tc>
          <w:tcPr>
            <w:tcW w:w="9180" w:type="dxa"/>
            <w:gridSpan w:val="4"/>
          </w:tcPr>
          <w:p w:rsidR="00FB1B48" w:rsidRPr="00A35237" w:rsidRDefault="00FB1B4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gyj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FB1B48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FB1B48" w:rsidRPr="00A35237" w:rsidRDefault="00FB1B48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 tantervi helye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6</w:t>
            </w:r>
            <w:r w:rsidRPr="00E5416C">
              <w:rPr>
                <w:b/>
                <w:sz w:val="24"/>
                <w:szCs w:val="24"/>
              </w:rPr>
              <w:t>. félév</w:t>
            </w:r>
          </w:p>
        </w:tc>
      </w:tr>
      <w:tr w:rsidR="00FB1B48" w:rsidRPr="00A35237" w:rsidTr="00F7210D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FB1B48" w:rsidRPr="00A35237" w:rsidRDefault="00FB1B48" w:rsidP="00F7210D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</w:p>
        </w:tc>
      </w:tr>
      <w:tr w:rsidR="00FB1B48" w:rsidRPr="00FC57A7" w:rsidTr="00F721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FB1B48" w:rsidRDefault="00FB1B4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FB1B48" w:rsidRDefault="00FB1B48" w:rsidP="00F72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szeminárium célja, hogy a </w:t>
            </w:r>
            <w:proofErr w:type="gramStart"/>
            <w:r>
              <w:rPr>
                <w:sz w:val="24"/>
                <w:szCs w:val="24"/>
              </w:rPr>
              <w:t>fordításról</w:t>
            </w:r>
            <w:proofErr w:type="gramEnd"/>
            <w:r>
              <w:rPr>
                <w:sz w:val="24"/>
                <w:szCs w:val="24"/>
              </w:rPr>
              <w:t xml:space="preserve"> mint alapvető nyelvi történésről és kulturális praxisról olyan tapasztalatokat és belátásokat szerezzünk, amelyek meghaladják azt a szemléletet, mely szerint a fordítás lehetősége magától értetődő volna, illetve gyakorlata valaha is a maradéktalan megfelelés jegyében állhatna. A </w:t>
            </w:r>
            <w:proofErr w:type="gramStart"/>
            <w:r>
              <w:rPr>
                <w:sz w:val="24"/>
                <w:szCs w:val="24"/>
              </w:rPr>
              <w:t>fordítást</w:t>
            </w:r>
            <w:proofErr w:type="gramEnd"/>
            <w:r>
              <w:rPr>
                <w:sz w:val="24"/>
                <w:szCs w:val="24"/>
              </w:rPr>
              <w:t xml:space="preserve"> mint történetileg és kulturálisan meghatározott értelmezői tevékenységet belátó felfogást, amely a fordítással mint az idegennek a sajátban való megjelenésével és így mint egy kettős </w:t>
            </w:r>
            <w:proofErr w:type="spellStart"/>
            <w:r>
              <w:rPr>
                <w:sz w:val="24"/>
                <w:szCs w:val="24"/>
              </w:rPr>
              <w:t>alteritás</w:t>
            </w:r>
            <w:proofErr w:type="spellEnd"/>
            <w:r>
              <w:rPr>
                <w:sz w:val="24"/>
                <w:szCs w:val="24"/>
              </w:rPr>
              <w:t xml:space="preserve"> jellemezte mozgással vet számot, különböző korokból származó német nyelvű irodalmi szövegek különböző korokban született magyar fordításainak vizsgálata mentén világítjuk meg (és viszont: magyar szövegek német fordításain). Bevezetésként néhány </w:t>
            </w:r>
            <w:proofErr w:type="gramStart"/>
            <w:r>
              <w:rPr>
                <w:sz w:val="24"/>
                <w:szCs w:val="24"/>
              </w:rPr>
              <w:t>fordítás-elméleti írást</w:t>
            </w:r>
            <w:proofErr w:type="gramEnd"/>
            <w:r>
              <w:rPr>
                <w:sz w:val="24"/>
                <w:szCs w:val="24"/>
              </w:rPr>
              <w:t xml:space="preserve"> olvasunk (és fordítunk). A szeminárium végén néhány olyan szövegrészlet saját fordításával, amelyek esetében a kulturális különbözőség különösen szembeötlő kihívást intéz a fordításhoz.</w:t>
            </w:r>
          </w:p>
          <w:p w:rsidR="00FB1B48" w:rsidRPr="001278E0" w:rsidRDefault="00FB1B48" w:rsidP="00F7210D">
            <w:pPr>
              <w:rPr>
                <w:sz w:val="24"/>
                <w:szCs w:val="24"/>
              </w:rPr>
            </w:pPr>
            <w:r w:rsidRPr="00DB4151">
              <w:rPr>
                <w:b/>
                <w:sz w:val="24"/>
                <w:szCs w:val="24"/>
              </w:rPr>
              <w:t>Az oktatás nyelve: német</w:t>
            </w:r>
          </w:p>
        </w:tc>
      </w:tr>
      <w:tr w:rsidR="00FB1B48" w:rsidRPr="00A35237" w:rsidTr="00F7210D">
        <w:trPr>
          <w:trHeight w:val="318"/>
        </w:trPr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FB1B48" w:rsidRPr="00A35237" w:rsidRDefault="00FB1B48" w:rsidP="00F7210D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FB1B48" w:rsidRPr="005234B8" w:rsidTr="00F721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Before w:val="1"/>
          <w:wBefore w:w="8" w:type="dxa"/>
          <w:trHeight w:val="1150"/>
        </w:trPr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48" w:rsidRDefault="00FB1B48" w:rsidP="00F721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Kötelező olvasmányok:</w:t>
            </w:r>
          </w:p>
          <w:p w:rsidR="00FB1B48" w:rsidRDefault="00FB1B48" w:rsidP="00FB1B4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Walter Benjamin: Die </w:t>
            </w:r>
            <w:proofErr w:type="spellStart"/>
            <w:r>
              <w:rPr>
                <w:sz w:val="24"/>
                <w:szCs w:val="24"/>
              </w:rPr>
              <w:t>Aufgabe</w:t>
            </w:r>
            <w:proofErr w:type="spellEnd"/>
            <w:r>
              <w:rPr>
                <w:sz w:val="24"/>
                <w:szCs w:val="24"/>
              </w:rPr>
              <w:t xml:space="preserve"> des </w:t>
            </w:r>
            <w:proofErr w:type="spellStart"/>
            <w:r>
              <w:rPr>
                <w:sz w:val="24"/>
                <w:szCs w:val="24"/>
              </w:rPr>
              <w:t>Übersetzers</w:t>
            </w:r>
            <w:proofErr w:type="spellEnd"/>
          </w:p>
          <w:p w:rsidR="00FB1B48" w:rsidRDefault="00FB1B48" w:rsidP="00FB1B4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Bachmann-Medick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Übersetzung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Repräsentation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fremder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Kulturen</w:t>
            </w:r>
            <w:proofErr w:type="spellEnd"/>
            <w:r>
              <w:rPr>
                <w:sz w:val="24"/>
                <w:szCs w:val="24"/>
              </w:rPr>
              <w:t>. Berlin, 1997.</w:t>
            </w:r>
          </w:p>
          <w:p w:rsidR="00FB1B48" w:rsidRPr="001278E0" w:rsidRDefault="00FB1B48" w:rsidP="00FB1B4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Thome</w:t>
            </w:r>
            <w:proofErr w:type="spellEnd"/>
            <w:r>
              <w:rPr>
                <w:sz w:val="24"/>
                <w:szCs w:val="24"/>
              </w:rPr>
              <w:t xml:space="preserve"> / C. </w:t>
            </w:r>
            <w:proofErr w:type="spellStart"/>
            <w:r>
              <w:rPr>
                <w:sz w:val="24"/>
                <w:szCs w:val="24"/>
              </w:rPr>
              <w:t>Giehl</w:t>
            </w:r>
            <w:proofErr w:type="spellEnd"/>
            <w:r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 xml:space="preserve">. (szerk.): </w:t>
            </w:r>
            <w:proofErr w:type="spellStart"/>
            <w:r>
              <w:rPr>
                <w:sz w:val="24"/>
                <w:szCs w:val="24"/>
              </w:rPr>
              <w:t>Kultur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Übersetzung</w:t>
            </w:r>
            <w:proofErr w:type="gramStart"/>
            <w:r>
              <w:rPr>
                <w:sz w:val="24"/>
                <w:szCs w:val="24"/>
              </w:rPr>
              <w:t>.Tübingen</w:t>
            </w:r>
            <w:proofErr w:type="spellEnd"/>
            <w:proofErr w:type="gramEnd"/>
            <w:r>
              <w:rPr>
                <w:sz w:val="24"/>
                <w:szCs w:val="24"/>
              </w:rPr>
              <w:t>, 2001.</w:t>
            </w:r>
          </w:p>
        </w:tc>
      </w:tr>
      <w:tr w:rsidR="00FB1B48" w:rsidRPr="00A35237" w:rsidTr="00F7210D">
        <w:tc>
          <w:tcPr>
            <w:tcW w:w="918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FB1B48" w:rsidRPr="00A35237" w:rsidRDefault="00FB1B48" w:rsidP="00F7210D">
            <w:pPr>
              <w:jc w:val="both"/>
              <w:rPr>
                <w:sz w:val="22"/>
                <w:szCs w:val="22"/>
              </w:rPr>
            </w:pPr>
          </w:p>
        </w:tc>
      </w:tr>
      <w:tr w:rsidR="00FB1B48" w:rsidRPr="00BA21D7" w:rsidTr="00F7210D">
        <w:trPr>
          <w:trHeight w:val="338"/>
        </w:trPr>
        <w:tc>
          <w:tcPr>
            <w:tcW w:w="9180" w:type="dxa"/>
            <w:gridSpan w:val="4"/>
          </w:tcPr>
          <w:p w:rsidR="00FB1B48" w:rsidRPr="00BA21D7" w:rsidRDefault="00FB1B48" w:rsidP="00F7210D">
            <w:pPr>
              <w:rPr>
                <w:b/>
                <w:bCs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</w:t>
            </w:r>
            <w:r>
              <w:rPr>
                <w:b/>
                <w:sz w:val="24"/>
                <w:szCs w:val="24"/>
              </w:rPr>
              <w:t>: Dr. Fáy Tamás PhD</w:t>
            </w:r>
          </w:p>
        </w:tc>
      </w:tr>
      <w:tr w:rsidR="00FB1B48" w:rsidRPr="00A35237" w:rsidTr="00F7210D">
        <w:trPr>
          <w:trHeight w:val="33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FB1B48" w:rsidRPr="00A35237" w:rsidRDefault="00FB1B48" w:rsidP="00F7210D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k)</w:t>
            </w:r>
            <w:r>
              <w:rPr>
                <w:b/>
                <w:sz w:val="24"/>
                <w:szCs w:val="24"/>
              </w:rPr>
              <w:t>: Dr. Fáy Tamás PhD, dr. Szabó Csaba PhD, dr. Kalocsai-Varga Éva PhD</w:t>
            </w:r>
          </w:p>
        </w:tc>
      </w:tr>
    </w:tbl>
    <w:p w:rsidR="003C0228" w:rsidRDefault="003C0228"/>
    <w:sectPr w:rsidR="003C0228" w:rsidSect="003C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5D14"/>
    <w:multiLevelType w:val="hybridMultilevel"/>
    <w:tmpl w:val="FFF02DC6"/>
    <w:lvl w:ilvl="0" w:tplc="C0AE66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FB1B48"/>
    <w:rsid w:val="003C0228"/>
    <w:rsid w:val="00FB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1413</Characters>
  <Application>Microsoft Office Word</Application>
  <DocSecurity>0</DocSecurity>
  <Lines>11</Lines>
  <Paragraphs>3</Paragraphs>
  <ScaleCrop>false</ScaleCrop>
  <Company>EKF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2011-06-29T07:44:00Z</dcterms:created>
  <dcterms:modified xsi:type="dcterms:W3CDTF">2011-06-29T07:44:00Z</dcterms:modified>
</cp:coreProperties>
</file>