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91AB7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1AB7" w:rsidRPr="00A35237" w:rsidRDefault="00C91AB7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Fordítás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B7" w:rsidRDefault="00C91AB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C91AB7" w:rsidRPr="00A35237" w:rsidRDefault="00C91AB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1AB7" w:rsidRPr="00A35237" w:rsidRDefault="00C91AB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C91AB7" w:rsidRPr="00A35237" w:rsidTr="00F7210D">
        <w:tc>
          <w:tcPr>
            <w:tcW w:w="9180" w:type="dxa"/>
            <w:gridSpan w:val="3"/>
          </w:tcPr>
          <w:p w:rsidR="00C91AB7" w:rsidRPr="00A35237" w:rsidRDefault="00C91AB7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91AB7" w:rsidRPr="00A35237" w:rsidTr="00F7210D">
        <w:tc>
          <w:tcPr>
            <w:tcW w:w="9180" w:type="dxa"/>
            <w:gridSpan w:val="3"/>
          </w:tcPr>
          <w:p w:rsidR="00C91AB7" w:rsidRPr="00A35237" w:rsidRDefault="00C91AB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91AB7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1AB7" w:rsidRPr="00A35237" w:rsidRDefault="00C91AB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C91AB7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1AB7" w:rsidRPr="00A35237" w:rsidRDefault="00C91AB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C91AB7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91AB7" w:rsidRDefault="00C91AB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91AB7" w:rsidRDefault="00C91AB7" w:rsidP="00F7210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kurzus célja elsősorban a nyelvtudás elmélyítése, emellett a fordítói készség fejlesztése. A hallgatók általános jellegű, autentikus szövegek életszerű szituációkban végzett (főleg német-magyar irányú) fordításán keresztül tudatosítják célnyelvi eszköztárukat, megismerik a magyar-német nyelvpárban érvényesülő interferencia-jelenségek elkerülésének technikáit és a legfontosabb átváltási műveleteket.</w:t>
            </w:r>
          </w:p>
          <w:p w:rsidR="00C91AB7" w:rsidRPr="00E90489" w:rsidRDefault="00C91AB7" w:rsidP="00F7210D">
            <w:pPr>
              <w:rPr>
                <w:b/>
                <w:bCs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C91AB7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1AB7" w:rsidRPr="00A35237" w:rsidRDefault="00C91AB7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91AB7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91AB7" w:rsidRDefault="00C91AB7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91AB7" w:rsidRDefault="00C91AB7" w:rsidP="00C91AB7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Kinga/Salánki Ágnes: Német-magyar fordítástechnika. Nemzeti Tankönyvkiadó: Budapest, 1997.</w:t>
            </w:r>
          </w:p>
          <w:p w:rsidR="00C91AB7" w:rsidRPr="00E91CF7" w:rsidRDefault="00C91AB7" w:rsidP="00C91AB7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Csatár Péter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 w:rsidRPr="00E91CF7">
              <w:rPr>
                <w:sz w:val="24"/>
                <w:szCs w:val="24"/>
              </w:rPr>
              <w:t xml:space="preserve">. </w:t>
            </w:r>
            <w:proofErr w:type="spellStart"/>
            <w:r w:rsidRPr="00E91CF7">
              <w:rPr>
                <w:sz w:val="24"/>
                <w:szCs w:val="24"/>
              </w:rPr>
              <w:t>Übersetzungswerkstatt</w:t>
            </w:r>
            <w:proofErr w:type="spellEnd"/>
            <w:r w:rsidRPr="00E91CF7">
              <w:rPr>
                <w:sz w:val="24"/>
                <w:szCs w:val="24"/>
              </w:rPr>
              <w:t xml:space="preserve">. </w:t>
            </w:r>
            <w:proofErr w:type="spellStart"/>
            <w:r w:rsidRPr="00E91CF7">
              <w:rPr>
                <w:sz w:val="24"/>
                <w:szCs w:val="24"/>
              </w:rPr>
              <w:t>Ein</w:t>
            </w:r>
            <w:proofErr w:type="spellEnd"/>
            <w:r w:rsidRPr="00E91CF7">
              <w:rPr>
                <w:sz w:val="24"/>
                <w:szCs w:val="24"/>
              </w:rPr>
              <w:t xml:space="preserve"> </w:t>
            </w:r>
            <w:proofErr w:type="spellStart"/>
            <w:r w:rsidRPr="00E91CF7">
              <w:rPr>
                <w:sz w:val="24"/>
                <w:szCs w:val="24"/>
              </w:rPr>
              <w:t>praxisorientiertes</w:t>
            </w:r>
            <w:proofErr w:type="spellEnd"/>
            <w:r w:rsidRPr="00E91CF7">
              <w:rPr>
                <w:sz w:val="24"/>
                <w:szCs w:val="24"/>
              </w:rPr>
              <w:t xml:space="preserve"> </w:t>
            </w:r>
            <w:proofErr w:type="spellStart"/>
            <w:r w:rsidRPr="00E91CF7">
              <w:rPr>
                <w:sz w:val="24"/>
                <w:szCs w:val="24"/>
              </w:rPr>
              <w:t>Übungsbuch</w:t>
            </w:r>
            <w:proofErr w:type="spellEnd"/>
            <w:r w:rsidRPr="00E91CF7">
              <w:rPr>
                <w:sz w:val="24"/>
                <w:szCs w:val="24"/>
              </w:rPr>
              <w:t>. Bölcsész Konzorcium</w:t>
            </w:r>
            <w:r>
              <w:rPr>
                <w:sz w:val="24"/>
                <w:szCs w:val="24"/>
              </w:rPr>
              <w:t>:</w:t>
            </w:r>
            <w:r w:rsidRPr="00E91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Budapest, 2006.</w:t>
            </w:r>
          </w:p>
          <w:p w:rsidR="00C91AB7" w:rsidRPr="00E90489" w:rsidRDefault="00C91AB7" w:rsidP="00F7210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C91AB7" w:rsidRDefault="00C91AB7" w:rsidP="00C91AB7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Baksay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Sarolta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[u.a.]: Stolpersteine, Fallgruben. Springreiten ins Deutsche. Ein Übersetzungstraining für Fortgeschrittene. </w:t>
            </w:r>
            <w:proofErr w:type="spellStart"/>
            <w:r>
              <w:rPr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1998.</w:t>
            </w:r>
          </w:p>
          <w:p w:rsidR="00C91AB7" w:rsidRDefault="00C91AB7" w:rsidP="00C91AB7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Emericzy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Tibor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alapjai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Idegennyelvi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Továbbképző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Központ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1980.</w:t>
            </w:r>
          </w:p>
          <w:p w:rsidR="00C91AB7" w:rsidRDefault="00C91AB7" w:rsidP="00C91AB7">
            <w:pPr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de-DE"/>
              </w:rPr>
              <w:t xml:space="preserve">Horváth </w:t>
            </w:r>
            <w:proofErr w:type="spellStart"/>
            <w:r>
              <w:rPr>
                <w:sz w:val="24"/>
                <w:szCs w:val="24"/>
                <w:lang w:val="de-DE"/>
              </w:rPr>
              <w:t>Éva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Übersetzen aus dem Deutschen ins Ungarische. </w:t>
            </w:r>
            <w:proofErr w:type="spellStart"/>
            <w:r>
              <w:rPr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2003.</w:t>
            </w:r>
          </w:p>
          <w:p w:rsidR="00C91AB7" w:rsidRPr="00E90489" w:rsidRDefault="00C91AB7" w:rsidP="00C91AB7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Zalán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Péter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GB"/>
              </w:rPr>
              <w:t>Német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fordítóiskola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Corvina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</w:tc>
      </w:tr>
      <w:tr w:rsidR="00C91AB7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1AB7" w:rsidRPr="00A35237" w:rsidRDefault="00C91AB7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C91AB7" w:rsidRPr="00A35237" w:rsidTr="00F7210D">
        <w:trPr>
          <w:trHeight w:val="338"/>
        </w:trPr>
        <w:tc>
          <w:tcPr>
            <w:tcW w:w="9180" w:type="dxa"/>
            <w:gridSpan w:val="3"/>
          </w:tcPr>
          <w:p w:rsidR="00C91AB7" w:rsidRPr="00BA21D7" w:rsidRDefault="00C91AB7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C91AB7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91AB7" w:rsidRPr="00A35237" w:rsidRDefault="00C91AB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Szabó Csaba PhD, dr. Harsányi Mihály PhD,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173"/>
    <w:multiLevelType w:val="hybridMultilevel"/>
    <w:tmpl w:val="55B0ADD6"/>
    <w:lvl w:ilvl="0" w:tplc="E54AF9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91AB7"/>
    <w:rsid w:val="003C0228"/>
    <w:rsid w:val="00C9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Company>EKF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2011-06-29T07:27:00Z</dcterms:created>
  <dcterms:modified xsi:type="dcterms:W3CDTF">2011-06-29T07:27:00Z</dcterms:modified>
</cp:coreProperties>
</file>