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E621B1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21B1" w:rsidRDefault="00E621B1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621B1" w:rsidRPr="00A35237" w:rsidRDefault="00E621B1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századi kiemelkedő szerző életműve I. (például Franz Kafka)*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1" w:rsidRDefault="00E621B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E621B1" w:rsidRPr="00A35237" w:rsidRDefault="00E621B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NBB_GE100K4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21B1" w:rsidRPr="00A35237" w:rsidRDefault="00E621B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E621B1" w:rsidRPr="00A35237" w:rsidTr="00F7210D">
        <w:tc>
          <w:tcPr>
            <w:tcW w:w="9180" w:type="dxa"/>
            <w:gridSpan w:val="4"/>
          </w:tcPr>
          <w:p w:rsidR="00E621B1" w:rsidRPr="00A35237" w:rsidRDefault="00E621B1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621B1" w:rsidRPr="00A35237" w:rsidTr="00F7210D">
        <w:tc>
          <w:tcPr>
            <w:tcW w:w="9180" w:type="dxa"/>
            <w:gridSpan w:val="4"/>
          </w:tcPr>
          <w:p w:rsidR="00E621B1" w:rsidRPr="00A35237" w:rsidRDefault="00E621B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621B1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21B1" w:rsidRPr="00A35237" w:rsidRDefault="00E621B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E621B1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21B1" w:rsidRPr="00A35237" w:rsidRDefault="00E621B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E621B1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E621B1" w:rsidRDefault="00E621B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E621B1" w:rsidRDefault="00E621B1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Kafka név: embléma. Az európai kultúrában a kafkai életmű rendkívül gazdag (</w:t>
            </w:r>
            <w:proofErr w:type="spellStart"/>
            <w:r>
              <w:rPr>
                <w:sz w:val="24"/>
                <w:szCs w:val="24"/>
              </w:rPr>
              <w:t>teologikus</w:t>
            </w:r>
            <w:proofErr w:type="spellEnd"/>
            <w:r>
              <w:rPr>
                <w:sz w:val="24"/>
                <w:szCs w:val="24"/>
              </w:rPr>
              <w:t xml:space="preserve">, egzisztencialista, pszichoanalitikus stb.) értelmezői hagyományai mentén egyszerre több mindennek is emblémájává vált, a látnoki művésztől az egzisztenciális kiszolgáltatottságig. A Prágában német ajkú zsidó családban született író műveit kézenfekvő az </w:t>
            </w:r>
            <w:proofErr w:type="spellStart"/>
            <w:r>
              <w:rPr>
                <w:sz w:val="24"/>
                <w:szCs w:val="24"/>
              </w:rPr>
              <w:t>interkulturalitás</w:t>
            </w:r>
            <w:proofErr w:type="spellEnd"/>
            <w:r>
              <w:rPr>
                <w:sz w:val="24"/>
                <w:szCs w:val="24"/>
              </w:rPr>
              <w:t xml:space="preserve"> problémái felől olvasni, de, az életmű nagyságának is megfelelően, nem </w:t>
            </w:r>
            <w:proofErr w:type="spellStart"/>
            <w:r>
              <w:rPr>
                <w:sz w:val="24"/>
                <w:szCs w:val="24"/>
              </w:rPr>
              <w:t>biografikus</w:t>
            </w:r>
            <w:proofErr w:type="spellEnd"/>
            <w:r>
              <w:rPr>
                <w:sz w:val="24"/>
                <w:szCs w:val="24"/>
              </w:rPr>
              <w:t xml:space="preserve"> alapon, hanem azért, mert Kafka elbeszéléseinek olvasása a legkülönbözőbb módokon segíthet hozzá az interkulturális megértés lehetőségeinek és feltételeinek reflexiójához. Kafka elbeszélései (nem kevésbé levelei [pl. a cseh anyanyelvű </w:t>
            </w:r>
            <w:proofErr w:type="spellStart"/>
            <w:r>
              <w:rPr>
                <w:sz w:val="24"/>
                <w:szCs w:val="24"/>
              </w:rPr>
              <w:t>Milena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Jesenskához</w:t>
            </w:r>
            <w:proofErr w:type="spellEnd"/>
            <w:r>
              <w:rPr>
                <w:sz w:val="24"/>
                <w:szCs w:val="24"/>
              </w:rPr>
              <w:t xml:space="preserve">] s egyéb hátrahagyott feljegyzései) ugyanis az idegenséget és a hozzá való viszonyt </w:t>
            </w:r>
            <w:proofErr w:type="gramStart"/>
            <w:r>
              <w:rPr>
                <w:sz w:val="24"/>
                <w:szCs w:val="24"/>
              </w:rPr>
              <w:t>pontosan</w:t>
            </w:r>
            <w:proofErr w:type="gramEnd"/>
            <w:r>
              <w:rPr>
                <w:sz w:val="24"/>
                <w:szCs w:val="24"/>
              </w:rPr>
              <w:t xml:space="preserve"> mint történetileg és kulturálisan meghatározott jelenséget </w:t>
            </w:r>
            <w:proofErr w:type="spellStart"/>
            <w:r>
              <w:rPr>
                <w:sz w:val="24"/>
                <w:szCs w:val="24"/>
              </w:rPr>
              <w:t>problematizálják</w:t>
            </w:r>
            <w:proofErr w:type="spellEnd"/>
            <w:r>
              <w:rPr>
                <w:sz w:val="24"/>
                <w:szCs w:val="24"/>
              </w:rPr>
              <w:t xml:space="preserve">, mint olyasmit, ami a „saját” világértelmezést radikálisan megingatja. A kafkai életmű, nem utolsósorban néhány eddig kevesebbet értelmezett része, a 21. században is aktuális, éspedig olyan új módokon, amelyek termékeny viszonyba hozhatók a </w:t>
            </w:r>
            <w:proofErr w:type="spellStart"/>
            <w:r>
              <w:rPr>
                <w:sz w:val="24"/>
                <w:szCs w:val="24"/>
              </w:rPr>
              <w:t>kulturalitás</w:t>
            </w:r>
            <w:proofErr w:type="spellEnd"/>
            <w:r>
              <w:rPr>
                <w:sz w:val="24"/>
                <w:szCs w:val="24"/>
              </w:rPr>
              <w:t xml:space="preserve"> kortárs diskurzusaival is, épp azért, mert Kafka igen tudatosan vetett számot korának </w:t>
            </w:r>
            <w:proofErr w:type="spellStart"/>
            <w:r>
              <w:rPr>
                <w:sz w:val="24"/>
                <w:szCs w:val="24"/>
              </w:rPr>
              <w:t>diszkurzív</w:t>
            </w:r>
            <w:proofErr w:type="spellEnd"/>
            <w:r>
              <w:rPr>
                <w:sz w:val="24"/>
                <w:szCs w:val="24"/>
              </w:rPr>
              <w:t xml:space="preserve"> és kulturális technikáival.</w:t>
            </w:r>
          </w:p>
          <w:p w:rsidR="00E621B1" w:rsidRPr="0057756A" w:rsidRDefault="00E621B1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E621B1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621B1" w:rsidRPr="00A35237" w:rsidRDefault="00E621B1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621B1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51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B1" w:rsidRDefault="00E621B1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621B1" w:rsidRPr="00AA6760" w:rsidRDefault="00E621B1" w:rsidP="00E621B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Franz Kafka: </w:t>
            </w:r>
            <w:proofErr w:type="spellStart"/>
            <w:r>
              <w:rPr>
                <w:sz w:val="24"/>
                <w:szCs w:val="24"/>
              </w:rPr>
              <w:t>Erzählungen</w:t>
            </w:r>
            <w:proofErr w:type="spellEnd"/>
            <w:r>
              <w:rPr>
                <w:sz w:val="24"/>
                <w:szCs w:val="24"/>
              </w:rPr>
              <w:t xml:space="preserve"> (különösen: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Strafkolonie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Schakale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Araber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Akademie</w:t>
            </w:r>
            <w:proofErr w:type="spellEnd"/>
            <w:r>
              <w:rPr>
                <w:sz w:val="24"/>
                <w:szCs w:val="24"/>
              </w:rPr>
              <w:t xml:space="preserve">, Die </w:t>
            </w:r>
            <w:proofErr w:type="spellStart"/>
            <w:r>
              <w:rPr>
                <w:sz w:val="24"/>
                <w:szCs w:val="24"/>
              </w:rPr>
              <w:t>Sorge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Hausvaters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Hungerkünstler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Josefine</w:t>
            </w:r>
            <w:proofErr w:type="spellEnd"/>
            <w:r>
              <w:rPr>
                <w:sz w:val="24"/>
                <w:szCs w:val="24"/>
              </w:rPr>
              <w:t xml:space="preserve">, die </w:t>
            </w:r>
            <w:proofErr w:type="spellStart"/>
            <w:r>
              <w:rPr>
                <w:sz w:val="24"/>
                <w:szCs w:val="24"/>
              </w:rPr>
              <w:t>Sängerin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Volk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Mäuse</w:t>
            </w:r>
            <w:proofErr w:type="spellEnd"/>
            <w:r>
              <w:rPr>
                <w:sz w:val="24"/>
                <w:szCs w:val="24"/>
              </w:rPr>
              <w:t xml:space="preserve">, Der </w:t>
            </w:r>
            <w:proofErr w:type="spellStart"/>
            <w:r>
              <w:rPr>
                <w:sz w:val="24"/>
                <w:szCs w:val="24"/>
              </w:rPr>
              <w:t>Jäger</w:t>
            </w:r>
            <w:proofErr w:type="spellEnd"/>
            <w:r>
              <w:rPr>
                <w:sz w:val="24"/>
                <w:szCs w:val="24"/>
              </w:rPr>
              <w:t xml:space="preserve"> Gracchus, </w:t>
            </w:r>
            <w:proofErr w:type="spellStart"/>
            <w:r>
              <w:rPr>
                <w:sz w:val="24"/>
                <w:szCs w:val="24"/>
              </w:rPr>
              <w:t>Gemeinschaft</w:t>
            </w:r>
            <w:proofErr w:type="spellEnd"/>
            <w:r>
              <w:rPr>
                <w:sz w:val="24"/>
                <w:szCs w:val="24"/>
              </w:rPr>
              <w:t xml:space="preserve">, Der </w:t>
            </w:r>
            <w:proofErr w:type="spellStart"/>
            <w:r>
              <w:rPr>
                <w:sz w:val="24"/>
                <w:szCs w:val="24"/>
              </w:rPr>
              <w:t>Nachbar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Bau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Chinesischen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Mauer</w:t>
            </w:r>
            <w:proofErr w:type="spellEnd"/>
          </w:p>
          <w:p w:rsidR="00E621B1" w:rsidRDefault="00E621B1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Ajánlott szakirodalom:</w:t>
            </w:r>
          </w:p>
          <w:p w:rsidR="00E621B1" w:rsidRDefault="00E621B1" w:rsidP="00E621B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Benjamin: Franz Kafka (</w:t>
            </w:r>
            <w:proofErr w:type="spellStart"/>
            <w:r>
              <w:rPr>
                <w:sz w:val="24"/>
                <w:szCs w:val="24"/>
              </w:rPr>
              <w:t>Essay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E621B1" w:rsidRPr="00AA6760" w:rsidRDefault="00E621B1" w:rsidP="00E621B1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Bay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Hamann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Hrsg</w:t>
            </w:r>
            <w:proofErr w:type="spellEnd"/>
            <w:r>
              <w:rPr>
                <w:sz w:val="24"/>
                <w:szCs w:val="24"/>
              </w:rPr>
              <w:t xml:space="preserve">.): </w:t>
            </w:r>
            <w:proofErr w:type="spellStart"/>
            <w:r>
              <w:rPr>
                <w:sz w:val="24"/>
                <w:szCs w:val="24"/>
              </w:rPr>
              <w:t>Odradeks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Lachen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Fremdheit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Kafka. </w:t>
            </w:r>
            <w:proofErr w:type="spellStart"/>
            <w:r>
              <w:rPr>
                <w:sz w:val="24"/>
                <w:szCs w:val="24"/>
              </w:rPr>
              <w:t>Rombach</w:t>
            </w:r>
            <w:proofErr w:type="spellEnd"/>
            <w:r>
              <w:rPr>
                <w:sz w:val="24"/>
                <w:szCs w:val="24"/>
              </w:rPr>
              <w:t>, 2006.</w:t>
            </w:r>
          </w:p>
        </w:tc>
      </w:tr>
      <w:tr w:rsidR="00E621B1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621B1" w:rsidRPr="00A35237" w:rsidRDefault="00E621B1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E621B1" w:rsidRPr="00BA21D7" w:rsidTr="00F7210D">
        <w:trPr>
          <w:trHeight w:val="338"/>
        </w:trPr>
        <w:tc>
          <w:tcPr>
            <w:tcW w:w="9180" w:type="dxa"/>
            <w:gridSpan w:val="4"/>
          </w:tcPr>
          <w:p w:rsidR="00E621B1" w:rsidRPr="00BA21D7" w:rsidRDefault="00E621B1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E621B1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621B1" w:rsidRPr="00A35237" w:rsidRDefault="00E621B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E88"/>
    <w:multiLevelType w:val="hybridMultilevel"/>
    <w:tmpl w:val="9A646EC6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E621B1"/>
    <w:rsid w:val="003C0228"/>
    <w:rsid w:val="00E6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1846</Characters>
  <Application>Microsoft Office Word</Application>
  <DocSecurity>0</DocSecurity>
  <Lines>15</Lines>
  <Paragraphs>4</Paragraphs>
  <ScaleCrop>false</ScaleCrop>
  <Company>EKF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2011-06-29T07:32:00Z</dcterms:created>
  <dcterms:modified xsi:type="dcterms:W3CDTF">2011-06-29T07:33:00Z</dcterms:modified>
</cp:coreProperties>
</file>