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5F3B42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Média- és kommunikációs rendszerek az Egyesült Államokban</w:t>
            </w:r>
            <w:r w:rsidRPr="00E43DF0">
              <w:rPr>
                <w:szCs w:val="24"/>
              </w:rPr>
              <w:t xml:space="preserve"> </w:t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NMG_NT118G5</w:t>
            </w:r>
          </w:p>
          <w:p w:rsidR="005F3B42" w:rsidRPr="00E43DF0" w:rsidRDefault="005F3B42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5F3B42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3,4.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Kollokvium 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Gyakorlati jegy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5F3B42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i/>
                <w:i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</w:p>
          <w:p w:rsidR="005F3B42" w:rsidRPr="00E43DF0" w:rsidRDefault="005F3B42" w:rsidP="00BF2002">
            <w:pPr>
              <w:tabs>
                <w:tab w:val="left" w:pos="8080"/>
              </w:tabs>
              <w:ind w:right="14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kommunikációs rendszerek folyamatosan alakulnak, változnak, ezért szükséges időbeli összefüggéseiben, azaz történeti alapozottsággal bemutatni az USA kommunikációs-média rendszereinek felépülését. A tárgy felöleli a következő témakörök bemutatását: írásos kommunikáció, telefon, rögzített hang, rádió, képi kommunikáció, film, televízió, multimédia, hálózatok (</w:t>
            </w:r>
            <w:proofErr w:type="spellStart"/>
            <w:r w:rsidRPr="00E43DF0">
              <w:rPr>
                <w:sz w:val="24"/>
                <w:szCs w:val="24"/>
              </w:rPr>
              <w:t>networking</w:t>
            </w:r>
            <w:proofErr w:type="spellEnd"/>
            <w:r w:rsidRPr="00E43DF0">
              <w:rPr>
                <w:sz w:val="24"/>
                <w:szCs w:val="24"/>
              </w:rPr>
              <w:t xml:space="preserve">), mobil kommunikáció. Az Egyesült Államok kommunikációs rendszerei, működésük és társadalmi vonatkozásaik különösen fontosak, mert modellként jelennek meg más országok, illetve más kultúrák számára. A téma megközelítése tehát szükségszerűen kulturális antropológiai, kommunikáció-elméleti és történeti. </w:t>
            </w:r>
          </w:p>
        </w:tc>
      </w:tr>
      <w:tr w:rsidR="005F3B42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jc w:val="both"/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Steven </w:t>
            </w:r>
            <w:proofErr w:type="spellStart"/>
            <w:r w:rsidRPr="00E43DF0">
              <w:rPr>
                <w:sz w:val="24"/>
                <w:szCs w:val="24"/>
              </w:rPr>
              <w:t>Lubar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i/>
                <w:sz w:val="24"/>
                <w:szCs w:val="24"/>
              </w:rPr>
              <w:t>Infoculture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. The </w:t>
            </w:r>
            <w:proofErr w:type="spellStart"/>
            <w:r w:rsidRPr="00E43DF0">
              <w:rPr>
                <w:i/>
                <w:sz w:val="24"/>
                <w:szCs w:val="24"/>
              </w:rPr>
              <w:t>Smithsonian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/>
                <w:sz w:val="24"/>
                <w:szCs w:val="24"/>
              </w:rPr>
              <w:t>Book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i/>
                <w:sz w:val="24"/>
                <w:szCs w:val="24"/>
              </w:rPr>
              <w:t>Information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/>
                <w:sz w:val="24"/>
                <w:szCs w:val="24"/>
              </w:rPr>
              <w:t>Age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/>
                <w:sz w:val="24"/>
                <w:szCs w:val="24"/>
              </w:rPr>
              <w:t>Inventions</w:t>
            </w:r>
            <w:proofErr w:type="spellEnd"/>
            <w:r w:rsidRPr="00E43DF0">
              <w:rPr>
                <w:i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Boston–New York: </w:t>
            </w:r>
            <w:proofErr w:type="spellStart"/>
            <w:r w:rsidRPr="00E43DF0">
              <w:rPr>
                <w:sz w:val="24"/>
                <w:szCs w:val="24"/>
              </w:rPr>
              <w:t>Houghton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Mifflin</w:t>
            </w:r>
            <w:proofErr w:type="spellEnd"/>
            <w:r w:rsidRPr="00E43DF0">
              <w:rPr>
                <w:sz w:val="24"/>
                <w:szCs w:val="24"/>
              </w:rPr>
              <w:t xml:space="preserve"> Co., 1993.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McLuhan</w:t>
            </w:r>
            <w:proofErr w:type="spellEnd"/>
            <w:r w:rsidRPr="00E43DF0">
              <w:rPr>
                <w:sz w:val="24"/>
                <w:szCs w:val="24"/>
              </w:rPr>
              <w:t xml:space="preserve">, Marshall: </w:t>
            </w:r>
            <w:proofErr w:type="spellStart"/>
            <w:r w:rsidRPr="00E43DF0">
              <w:rPr>
                <w:sz w:val="24"/>
                <w:szCs w:val="24"/>
              </w:rPr>
              <w:t>Understanding</w:t>
            </w:r>
            <w:proofErr w:type="spellEnd"/>
            <w:r w:rsidRPr="00E43DF0">
              <w:rPr>
                <w:sz w:val="24"/>
                <w:szCs w:val="24"/>
              </w:rPr>
              <w:t xml:space="preserve"> Media: The </w:t>
            </w:r>
            <w:proofErr w:type="spellStart"/>
            <w:r w:rsidRPr="00E43DF0">
              <w:rPr>
                <w:sz w:val="24"/>
                <w:szCs w:val="24"/>
              </w:rPr>
              <w:t>extensions</w:t>
            </w:r>
            <w:proofErr w:type="spellEnd"/>
            <w:r w:rsidRPr="00E43DF0">
              <w:rPr>
                <w:sz w:val="24"/>
                <w:szCs w:val="24"/>
              </w:rPr>
              <w:t xml:space="preserve"> of man. New York: </w:t>
            </w:r>
            <w:proofErr w:type="spellStart"/>
            <w:r w:rsidRPr="00E43DF0">
              <w:rPr>
                <w:sz w:val="24"/>
                <w:szCs w:val="24"/>
              </w:rPr>
              <w:t>McGraw-Hill</w:t>
            </w:r>
            <w:proofErr w:type="spellEnd"/>
            <w:r w:rsidRPr="00E43DF0">
              <w:rPr>
                <w:sz w:val="24"/>
                <w:szCs w:val="24"/>
              </w:rPr>
              <w:t>, 1964.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Barnouw</w:t>
            </w:r>
            <w:proofErr w:type="spellEnd"/>
            <w:r w:rsidRPr="00E43DF0">
              <w:rPr>
                <w:sz w:val="24"/>
                <w:szCs w:val="24"/>
              </w:rPr>
              <w:t>, Erik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Encyclopedia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Communication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Vols</w:t>
            </w:r>
            <w:proofErr w:type="spellEnd"/>
            <w:r w:rsidRPr="00E43DF0">
              <w:rPr>
                <w:sz w:val="24"/>
                <w:szCs w:val="24"/>
              </w:rPr>
              <w:t>. 1–4. New York–Oxford: Oxford University Press, 1989.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Smith, </w:t>
            </w:r>
            <w:proofErr w:type="spellStart"/>
            <w:r w:rsidRPr="00E43DF0">
              <w:rPr>
                <w:sz w:val="24"/>
                <w:szCs w:val="24"/>
              </w:rPr>
              <w:t>Antony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Television</w:t>
            </w:r>
            <w:proofErr w:type="spellEnd"/>
            <w:r w:rsidRPr="00E43DF0">
              <w:rPr>
                <w:sz w:val="24"/>
                <w:szCs w:val="24"/>
              </w:rPr>
              <w:t xml:space="preserve">: An </w:t>
            </w:r>
            <w:proofErr w:type="spellStart"/>
            <w:r w:rsidRPr="00E43DF0">
              <w:rPr>
                <w:sz w:val="24"/>
                <w:szCs w:val="24"/>
              </w:rPr>
              <w:t>international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>. Oxford: Oxford University Press, 1995.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Briggs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Asa</w:t>
            </w:r>
            <w:proofErr w:type="spellEnd"/>
            <w:r w:rsidRPr="00E43DF0">
              <w:rPr>
                <w:sz w:val="24"/>
                <w:szCs w:val="24"/>
              </w:rPr>
              <w:t>—</w:t>
            </w:r>
            <w:proofErr w:type="spellStart"/>
            <w:r w:rsidRPr="00E43DF0">
              <w:rPr>
                <w:sz w:val="24"/>
                <w:szCs w:val="24"/>
              </w:rPr>
              <w:t>Burke</w:t>
            </w:r>
            <w:proofErr w:type="spellEnd"/>
            <w:r w:rsidRPr="00E43DF0">
              <w:rPr>
                <w:sz w:val="24"/>
                <w:szCs w:val="24"/>
              </w:rPr>
              <w:t xml:space="preserve">, Peter: A </w:t>
            </w:r>
            <w:proofErr w:type="spellStart"/>
            <w:r w:rsidRPr="00E43DF0">
              <w:rPr>
                <w:sz w:val="24"/>
                <w:szCs w:val="24"/>
              </w:rPr>
              <w:t>Social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Media. </w:t>
            </w:r>
            <w:proofErr w:type="spellStart"/>
            <w:r w:rsidRPr="00E43DF0">
              <w:rPr>
                <w:sz w:val="24"/>
                <w:szCs w:val="24"/>
              </w:rPr>
              <w:t>From</w:t>
            </w:r>
            <w:proofErr w:type="spellEnd"/>
            <w:r w:rsidRPr="00E43DF0">
              <w:rPr>
                <w:sz w:val="24"/>
                <w:szCs w:val="24"/>
              </w:rPr>
              <w:t xml:space="preserve"> Gutenberg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Internet. Cambridge (UK): </w:t>
            </w:r>
            <w:proofErr w:type="spellStart"/>
            <w:r w:rsidRPr="00E43DF0">
              <w:rPr>
                <w:sz w:val="24"/>
                <w:szCs w:val="24"/>
              </w:rPr>
              <w:t>Polity</w:t>
            </w:r>
            <w:proofErr w:type="spellEnd"/>
            <w:r w:rsidRPr="00E43DF0">
              <w:rPr>
                <w:sz w:val="24"/>
                <w:szCs w:val="24"/>
              </w:rPr>
              <w:t xml:space="preserve"> Press, 2002.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világ előrehaladása az információs társadalom terén 2005-ben: „</w:t>
            </w:r>
            <w:proofErr w:type="spellStart"/>
            <w:r w:rsidRPr="00E43DF0">
              <w:rPr>
                <w:sz w:val="24"/>
                <w:szCs w:val="24"/>
              </w:rPr>
              <w:t>Information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society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world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progress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report</w:t>
            </w:r>
            <w:proofErr w:type="spellEnd"/>
            <w:r w:rsidRPr="00E43DF0">
              <w:rPr>
                <w:sz w:val="24"/>
                <w:szCs w:val="24"/>
              </w:rPr>
              <w:t>.” BME-UNESCO Információs Társadalom és Trendkutató Központ, 2005.</w:t>
            </w:r>
          </w:p>
          <w:p w:rsidR="005F3B42" w:rsidRPr="00E43DF0" w:rsidRDefault="005F3B42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5F3B42" w:rsidRPr="00E43DF0" w:rsidTr="00BF200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Buzinkay</w:t>
            </w:r>
            <w:proofErr w:type="spellEnd"/>
            <w:r w:rsidRPr="00E43DF0">
              <w:rPr>
                <w:sz w:val="24"/>
                <w:szCs w:val="24"/>
              </w:rPr>
              <w:t xml:space="preserve"> Géza, PhD főiskolai tanár</w:t>
            </w:r>
          </w:p>
          <w:p w:rsidR="005F3B42" w:rsidRPr="00E43DF0" w:rsidRDefault="005F3B42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</w:t>
            </w:r>
            <w:proofErr w:type="spellStart"/>
            <w:r w:rsidRPr="00E43DF0">
              <w:rPr>
                <w:bCs/>
                <w:sz w:val="24"/>
                <w:szCs w:val="24"/>
              </w:rPr>
              <w:t>Buzinkay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Géza, </w:t>
            </w:r>
            <w:r w:rsidRPr="00E43DF0">
              <w:rPr>
                <w:sz w:val="24"/>
                <w:szCs w:val="24"/>
              </w:rPr>
              <w:t>PhD főiskolai tanár</w:t>
            </w:r>
          </w:p>
          <w:p w:rsidR="005F3B42" w:rsidRPr="00E43DF0" w:rsidRDefault="005F3B42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5F3B42" w:rsidRDefault="005F3B42"/>
    <w:sectPr w:rsidR="005F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57755D5"/>
    <w:multiLevelType w:val="hybridMultilevel"/>
    <w:tmpl w:val="3C5C0052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3B42"/>
    <w:rsid w:val="005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F3B4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F3B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5F3B4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F3B4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F3B4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F3B4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3B4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F3B4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F3B4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3B4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F3B4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5F3B4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F3B4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F3B4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F3B4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F3B4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F3B4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F3B4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F3B42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1570</Characters>
  <Application>Microsoft Office Word</Application>
  <DocSecurity>0</DocSecurity>
  <Lines>13</Lines>
  <Paragraphs>3</Paragraphs>
  <ScaleCrop>false</ScaleCrop>
  <Company>EKF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2009-07-13T07:46:00Z</dcterms:created>
  <dcterms:modified xsi:type="dcterms:W3CDTF">2009-07-13T07:47:00Z</dcterms:modified>
</cp:coreProperties>
</file>