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Look w:val="01E0"/>
      </w:tblPr>
      <w:tblGrid>
        <w:gridCol w:w="4046"/>
        <w:gridCol w:w="3165"/>
        <w:gridCol w:w="2032"/>
      </w:tblGrid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Pr="004F5F9F" w:rsidRDefault="00A9071D" w:rsidP="002F5C5A">
            <w:pPr>
              <w:pageBreakBefore/>
            </w:pPr>
            <w:r>
              <w:br w:type="page"/>
            </w:r>
            <w:r w:rsidRPr="004F5F9F">
              <w:rPr>
                <w:b/>
              </w:rPr>
              <w:t>A tantárgy megn</w:t>
            </w:r>
            <w:r w:rsidRPr="004F5F9F">
              <w:rPr>
                <w:b/>
              </w:rPr>
              <w:t>e</w:t>
            </w:r>
            <w:r w:rsidRPr="004F5F9F">
              <w:rPr>
                <w:b/>
              </w:rPr>
              <w:t>vezése:</w:t>
            </w:r>
            <w:r w:rsidRPr="004F5F9F">
              <w:t xml:space="preserve"> </w:t>
            </w:r>
          </w:p>
          <w:p w:rsidR="00A9071D" w:rsidRPr="004F5F9F" w:rsidRDefault="00A9071D" w:rsidP="002F5C5A">
            <w:r>
              <w:t>A biológiai</w:t>
            </w:r>
            <w:r w:rsidRPr="004F5F9F">
              <w:t xml:space="preserve"> és a társadalmi nem (</w:t>
            </w:r>
            <w:proofErr w:type="spellStart"/>
            <w:r w:rsidRPr="004F5F9F">
              <w:t>gender</w:t>
            </w:r>
            <w:proofErr w:type="spellEnd"/>
            <w:r w:rsidRPr="004F5F9F">
              <w:t xml:space="preserve">)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A9071D" w:rsidRPr="0065101A" w:rsidRDefault="00A9071D" w:rsidP="002F5C5A">
            <w:r w:rsidRPr="0065101A">
              <w:t>NMG_ES109G</w:t>
            </w:r>
            <w: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Kreditszám: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>3</w:t>
            </w:r>
          </w:p>
        </w:tc>
      </w:tr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</w:t>
            </w:r>
            <w:r w:rsidRPr="004F5F9F">
              <w:rPr>
                <w:b/>
              </w:rPr>
              <w:t>e</w:t>
            </w:r>
            <w:r w:rsidRPr="004F5F9F">
              <w:rPr>
                <w:b/>
              </w:rPr>
              <w:t xml:space="preserve">ti egység: </w:t>
            </w:r>
          </w:p>
          <w:p w:rsidR="00A9071D" w:rsidRPr="004F5F9F" w:rsidRDefault="00A9071D" w:rsidP="002F5C5A">
            <w:r>
              <w:t>Politológia Tanszék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>előadás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Kontaktóraszám: </w:t>
            </w:r>
          </w:p>
          <w:p w:rsidR="00A9071D" w:rsidRPr="002D6ACF" w:rsidRDefault="00A9071D" w:rsidP="002F5C5A">
            <w:r w:rsidRPr="002D6ACF">
              <w:t>30</w:t>
            </w:r>
          </w:p>
        </w:tc>
      </w:tr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Előfeltételek: </w:t>
            </w:r>
          </w:p>
          <w:p w:rsidR="00A9071D" w:rsidRPr="00C77116" w:rsidRDefault="00A9071D" w:rsidP="002F5C5A">
            <w:r w:rsidRPr="00C77116">
              <w:t>Társadalmi és jogi normák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A9071D" w:rsidRPr="002D6ACF" w:rsidRDefault="00A9071D" w:rsidP="002F5C5A">
            <w:r w:rsidRPr="004F5F9F">
              <w:rPr>
                <w:b/>
              </w:rPr>
              <w:t xml:space="preserve"> </w:t>
            </w:r>
            <w:r>
              <w:t>kollokvium</w:t>
            </w:r>
            <w:r w:rsidRPr="002D6ACF">
              <w:t xml:space="preserve">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</w:p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Pr="00C77116" w:rsidRDefault="00A9071D" w:rsidP="002F5C5A">
            <w:pPr>
              <w:rPr>
                <w:b/>
              </w:rPr>
            </w:pPr>
            <w:r w:rsidRPr="00C77116">
              <w:rPr>
                <w:b/>
              </w:rPr>
              <w:t>Kompetenciák:</w:t>
            </w:r>
          </w:p>
          <w:p w:rsidR="00A9071D" w:rsidRPr="00C77116" w:rsidRDefault="00A9071D" w:rsidP="002F5C5A">
            <w:pPr>
              <w:rPr>
                <w:b/>
              </w:rPr>
            </w:pPr>
            <w:r w:rsidRPr="00C77116">
              <w:rPr>
                <w:b/>
              </w:rPr>
              <w:t>Tanári</w:t>
            </w:r>
            <w:proofErr w:type="gramStart"/>
            <w:r w:rsidRPr="00C77116">
              <w:rPr>
                <w:b/>
              </w:rPr>
              <w:t>:  1</w:t>
            </w:r>
            <w:proofErr w:type="gramEnd"/>
            <w:r w:rsidRPr="00C77116">
              <w:rPr>
                <w:b/>
              </w:rPr>
              <w:t xml:space="preserve">., 4., 9., 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C77116">
              <w:rPr>
                <w:bCs/>
              </w:rPr>
              <w:t>A tanuló személyiségének fejlesztése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C77116">
              <w:rPr>
                <w:bCs/>
              </w:rPr>
              <w:t>A tanulók műveltségnek, készségeinek és képességeinek fejlesztése a tudás felhaszn</w:t>
            </w:r>
            <w:r w:rsidRPr="00C77116">
              <w:rPr>
                <w:bCs/>
              </w:rPr>
              <w:t>á</w:t>
            </w:r>
            <w:r w:rsidRPr="00C77116">
              <w:rPr>
                <w:bCs/>
              </w:rPr>
              <w:t>lásával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</w:pPr>
            <w:r w:rsidRPr="00C77116">
              <w:rPr>
                <w:bCs/>
              </w:rPr>
              <w:t>Önművelés, elkötelezettség a szakmai fejlődésre</w:t>
            </w:r>
          </w:p>
          <w:p w:rsidR="00A9071D" w:rsidRPr="00C77116" w:rsidRDefault="00A9071D" w:rsidP="002F5C5A">
            <w:pPr>
              <w:tabs>
                <w:tab w:val="left" w:pos="350"/>
              </w:tabs>
              <w:rPr>
                <w:b/>
              </w:rPr>
            </w:pPr>
            <w:r w:rsidRPr="00C77116">
              <w:rPr>
                <w:b/>
              </w:rPr>
              <w:t>Szakterületi: 1</w:t>
            </w:r>
            <w:proofErr w:type="gramStart"/>
            <w:r w:rsidRPr="00C77116">
              <w:rPr>
                <w:b/>
              </w:rPr>
              <w:t>.,</w:t>
            </w:r>
            <w:proofErr w:type="gramEnd"/>
            <w:r w:rsidRPr="00C77116">
              <w:rPr>
                <w:b/>
              </w:rPr>
              <w:t xml:space="preserve"> 2., 3., 6.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személyiség és az emberi jogok tiszteletére nevelés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nemzeti identitás, a történelmi és az állampolgári tudat erősítése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a szociális érzékenység, az életkornak megfelelő társadalmi problémák iránti nyitottság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humánus, értékeket védő magatartás fejlesztése</w:t>
            </w:r>
          </w:p>
          <w:p w:rsidR="00A9071D" w:rsidRPr="00C77116" w:rsidRDefault="00A9071D" w:rsidP="002F5C5A">
            <w:pPr>
              <w:jc w:val="both"/>
            </w:pPr>
            <w:r w:rsidRPr="00C77116">
              <w:rPr>
                <w:b/>
                <w:i/>
              </w:rPr>
              <w:t>Tudás</w:t>
            </w:r>
            <w:r>
              <w:rPr>
                <w:b/>
                <w:i/>
              </w:rPr>
              <w:t xml:space="preserve">: </w:t>
            </w:r>
            <w:r w:rsidRPr="00C77116">
              <w:t>Ismeretekkel bír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 xml:space="preserve">), a társadalmi nem irodalomelméleti, antropológiai, szociológiai és pszichológiai megnyilvánulásairól, a feminizmus és a feminista irodalomkritika elméleti alapjairól. </w:t>
            </w:r>
          </w:p>
          <w:p w:rsidR="00A9071D" w:rsidRDefault="00A9071D" w:rsidP="002F5C5A">
            <w:pPr>
              <w:jc w:val="both"/>
              <w:rPr>
                <w:b/>
                <w:i/>
              </w:rPr>
            </w:pPr>
            <w:r w:rsidRPr="00C77116">
              <w:rPr>
                <w:b/>
                <w:i/>
              </w:rPr>
              <w:t>Attitűdök/nézetek</w:t>
            </w:r>
            <w:r>
              <w:rPr>
                <w:b/>
                <w:i/>
              </w:rPr>
              <w:t>:</w:t>
            </w:r>
          </w:p>
          <w:p w:rsidR="00A9071D" w:rsidRPr="00C77116" w:rsidRDefault="00A9071D" w:rsidP="002F5C5A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C77116">
              <w:t xml:space="preserve">Olyan készségek és attitűdök fejlődését segíti elő, mint a kritikai gondolkodás, célnyelvi érvelési és vita készség, továbbá interkulturális, illetve kulturális relativista látásmód és a kulturális másság iránti tolerancia. </w:t>
            </w:r>
          </w:p>
          <w:p w:rsidR="00A9071D" w:rsidRDefault="00A9071D" w:rsidP="002F5C5A">
            <w:pPr>
              <w:jc w:val="both"/>
              <w:rPr>
                <w:b/>
                <w:i/>
              </w:rPr>
            </w:pPr>
            <w:r w:rsidRPr="00C77116">
              <w:rPr>
                <w:b/>
                <w:i/>
              </w:rPr>
              <w:t>Képességek</w:t>
            </w:r>
            <w:r>
              <w:rPr>
                <w:b/>
                <w:i/>
              </w:rPr>
              <w:t>:</w:t>
            </w:r>
          </w:p>
          <w:p w:rsidR="00A9071D" w:rsidRPr="00C77116" w:rsidRDefault="00A9071D" w:rsidP="002F5C5A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C77116">
              <w:t xml:space="preserve">Kritikai gondolkodás, célnyelvi érvelési és vita készség, továbbá interkulturális, illetve kulturális relativista látásmód és a kulturális másság iránti tolerancia. </w:t>
            </w:r>
          </w:p>
          <w:p w:rsidR="00A9071D" w:rsidRPr="00C77116" w:rsidRDefault="00A9071D" w:rsidP="002F5C5A">
            <w:pPr>
              <w:jc w:val="both"/>
              <w:rPr>
                <w:b/>
              </w:rPr>
            </w:pPr>
            <w:r w:rsidRPr="00C77116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 w:rsidRPr="00C77116">
              <w:t xml:space="preserve">a szakmai ismeretanyag és a kapcsolódó kutatás módszertani háttér elsajátíttatása mellett segítse olyan készségek és attitűdök fejlődését, mint a kritikai gondolkodás, célnyelvi érvelési és vita készség, továbbá interkulturális, illetve kulturális relativista látásmód és a kulturális másság iránti tolerancia. </w:t>
            </w:r>
            <w:r>
              <w:t xml:space="preserve"> </w:t>
            </w:r>
            <w:r w:rsidRPr="00C77116">
              <w:t>A tantárgy célja továbbá, hogy interdiszciplináris alapon megvizsgálja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>) kulturális, történeti, irodalmi, és politikai megnyilvánulásait, továbbá a szexuális különbségek amerikai társadalmi megjelenésének különböző konstrukcióit és azoknak az amerikai történelemre gyakorolt hatását. A tantárgy különbséget tesz a biológiai és társadalmi nem között, az utóbbit nem az egyénnel született konstrukciónak, hanem a külső, szocializációs tényezők kölcsönhatása eredményének tekinti.</w:t>
            </w:r>
          </w:p>
          <w:p w:rsidR="00A9071D" w:rsidRPr="00C77116" w:rsidRDefault="00A9071D" w:rsidP="002F5C5A">
            <w:r w:rsidRPr="00C77116">
              <w:rPr>
                <w:b/>
              </w:rPr>
              <w:t>Tartalom</w:t>
            </w:r>
            <w:proofErr w:type="gramStart"/>
            <w:r w:rsidRPr="00C7711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C77116">
              <w:t>A</w:t>
            </w:r>
            <w:proofErr w:type="gramEnd"/>
            <w:r w:rsidRPr="00C77116">
              <w:t xml:space="preserve"> tantárgy célja, hogy interdiszciplináris alapon megvizsgálja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>) kulturális, történeti, irodalmi, és politikai megnyilvánulásait, továbbá a szexuális különbségek társadalmi megjelenésének különböző konstrukcióit és azoknak a társadalomra gyakorolt hatását. A tantárgy különbséget tesz a biológiai és társadalmi nem között, az utóbbit nem az egyénnel született konstrukciónak, hanem a külső, szocializációs tényezők kölcsönhatása eredményének tekinti. A társadalmi nem konstrukciójával kapcsolatos kérdések vizsgálatát a szexuális alapon történő hatalom elosztás hierarchiáját megkérdőjelező társadalmi csoportok és szubkultúrák történeti, társadalmi és művelődéstörténeti fejlődésének áttekintése egészíti ki.  A szemináriumok a következő témákkal foglalkoznak: a társadalmi nem irodalomelméleti, antropológiai, szociológiai és pszichológiai megnyilvánulásai, a feminizmus és a feminista irodalomkritika elméleti alapjai, meleg (</w:t>
            </w:r>
            <w:proofErr w:type="spellStart"/>
            <w:r w:rsidRPr="00C77116">
              <w:t>queer</w:t>
            </w:r>
            <w:proofErr w:type="spellEnd"/>
            <w:r w:rsidRPr="00C77116">
              <w:t xml:space="preserve">) és leszbikus irodalomelmélet, a patriarchális társadalmi berendezkedés feminista és maszkulin </w:t>
            </w:r>
            <w:proofErr w:type="spellStart"/>
            <w:r w:rsidRPr="00C77116">
              <w:t>érelmezése</w:t>
            </w:r>
            <w:proofErr w:type="spellEnd"/>
            <w:r w:rsidRPr="00C77116">
              <w:t xml:space="preserve">, a szexuális másság társadalmi és politikai elfogadásának módozatai. </w:t>
            </w:r>
          </w:p>
          <w:p w:rsidR="00A9071D" w:rsidRPr="00C77116" w:rsidRDefault="00A9071D" w:rsidP="002F5C5A">
            <w:r w:rsidRPr="00C77116">
              <w:rPr>
                <w:b/>
              </w:rPr>
              <w:t xml:space="preserve">Módszerek: </w:t>
            </w:r>
            <w:r w:rsidRPr="00C77116">
              <w:t xml:space="preserve">Irodalomelemzés, forráselemzés, </w:t>
            </w:r>
            <w:proofErr w:type="spellStart"/>
            <w:r w:rsidRPr="00C77116">
              <w:t>teammunka</w:t>
            </w:r>
            <w:proofErr w:type="spellEnd"/>
          </w:p>
          <w:p w:rsidR="00A9071D" w:rsidRDefault="00A9071D" w:rsidP="002F5C5A">
            <w:r w:rsidRPr="00C77116">
              <w:rPr>
                <w:b/>
              </w:rPr>
              <w:t>Követelmények, a tantárgy teljesítésének feltételei:</w:t>
            </w:r>
            <w:r>
              <w:rPr>
                <w:b/>
              </w:rPr>
              <w:t xml:space="preserve"> </w:t>
            </w:r>
            <w:r w:rsidRPr="00C77116">
              <w:t>Gyakorlati jegy megszerzésének alapfeltétele a szakirodalom ismereteinek elsajátítása, a szakterület kutatás-módszertani készségének bemutatása.</w:t>
            </w:r>
          </w:p>
          <w:p w:rsidR="00A9071D" w:rsidRPr="00C77116" w:rsidRDefault="00A9071D" w:rsidP="002F5C5A"/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Default="00A9071D" w:rsidP="002F5C5A">
            <w:pPr>
              <w:jc w:val="both"/>
              <w:rPr>
                <w:b/>
              </w:rPr>
            </w:pPr>
            <w:r w:rsidRPr="00C77116">
              <w:rPr>
                <w:b/>
              </w:rPr>
              <w:t>Irodalom: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Kálmán Zsófia – </w:t>
            </w:r>
            <w:proofErr w:type="spellStart"/>
            <w:r>
              <w:rPr>
                <w:rFonts w:ascii="Times New Roman" w:hAnsi="Times New Roman"/>
                <w:szCs w:val="20"/>
              </w:rPr>
              <w:t>Könczei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György: A Taigetosztól az esélyegyenlőségig Budapest, Osiris Kiadó, 2002.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Vicky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Randall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Georgina </w:t>
            </w:r>
            <w:proofErr w:type="spellStart"/>
            <w:r>
              <w:rPr>
                <w:rFonts w:ascii="Times New Roman" w:hAnsi="Times New Roman"/>
                <w:szCs w:val="20"/>
              </w:rPr>
              <w:t>Wayau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): Társadalmi nem, politika és az állam. Feminista társadalomtudományi tanulmányok, Bp., 2003. 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Andrea: Napasszonyok és Holdkisasszonyok. A mai magyar konzervatív női politizálás alaktana. Budapest, Balassi Kiadó, 2003. 292.p.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Kósáné Kovács Magda – Pető Andrea: Mérleg. Hátrányos helyzetű társadalmi csoportok Magyarországon 2007-ben. Budapest, Napvilág Kiadó, 2007. 287.p.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>): Társadalmi nemek képe és emlékezése Magyarországon a 19-20. században. Budapest, 2003. 256.p.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David Bergman: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Gaiety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Transfigured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Gay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Self-Representation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Literature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Madison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r w:rsidRPr="00C77116">
              <w:rPr>
                <w:rFonts w:ascii="Times New Roman" w:hAnsi="Times New Roman"/>
                <w:szCs w:val="20"/>
              </w:rPr>
              <w:lastRenderedPageBreak/>
              <w:t xml:space="preserve">U of Wisconsin P, 1991.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Ellen Carol Du Bois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Vicki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L.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Ruiz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Unequal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Sisters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Reader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U.S.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Women’s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History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r w:rsidRPr="00C77116">
              <w:rPr>
                <w:rFonts w:ascii="Times New Roman" w:hAnsi="Times New Roman"/>
                <w:szCs w:val="20"/>
              </w:rPr>
              <w:br/>
              <w:t xml:space="preserve">London: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, 1990.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Hearn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J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>:</w:t>
            </w:r>
            <w:proofErr w:type="gram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r w:rsidRPr="00C77116">
              <w:rPr>
                <w:rFonts w:ascii="Times New Roman" w:hAnsi="Times New Roman"/>
                <w:iCs/>
                <w:szCs w:val="20"/>
              </w:rPr>
              <w:t xml:space="preserve">The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Deconstruction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of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Patriarchies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, 1992.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Meyerowitz</w:t>
            </w:r>
            <w:proofErr w:type="spellEnd"/>
            <w:r>
              <w:rPr>
                <w:rFonts w:ascii="Times New Roman" w:hAnsi="Times New Roman"/>
                <w:szCs w:val="20"/>
              </w:rPr>
              <w:t>, J.</w:t>
            </w:r>
            <w:r w:rsidRPr="00C77116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.):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Not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June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Cleaver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Gender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Postwar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America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. Philadelphia: UP, 1994.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Cherrie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Moraga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Gloria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Anzaldua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This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Bridge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Called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Back.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Kitchen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Table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P, 1983.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Tarnóc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András: The Dynamics of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Multiculturalism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Model-based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Study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 Eger: EKF, Líceum, 2005.</w:t>
            </w:r>
          </w:p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D" w:rsidRDefault="00A9071D" w:rsidP="002F5C5A">
            <w:r w:rsidRPr="004F5F9F">
              <w:rPr>
                <w:b/>
              </w:rPr>
              <w:lastRenderedPageBreak/>
              <w:t>Tantárgyfelelős:</w:t>
            </w:r>
            <w:r w:rsidRPr="004F5F9F">
              <w:t xml:space="preserve"> </w:t>
            </w:r>
            <w:r>
              <w:t>Ráczné dr. Horváth Ágnes, PhD, főiskolai tanár</w:t>
            </w:r>
          </w:p>
          <w:p w:rsidR="00A9071D" w:rsidRDefault="00A9071D" w:rsidP="002F5C5A">
            <w:r w:rsidRPr="0059283C">
              <w:rPr>
                <w:b/>
              </w:rPr>
              <w:t>Oktatók:</w:t>
            </w:r>
            <w:r w:rsidRPr="008B323F">
              <w:t xml:space="preserve"> </w:t>
            </w:r>
            <w:r>
              <w:t xml:space="preserve">Ráczné dr. Horváth Ágnes, PhD, főiskolai tanár,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 xml:space="preserve">                Guszmann Gergely, PhD hallgató, tanársegéd</w:t>
            </w:r>
          </w:p>
        </w:tc>
      </w:tr>
    </w:tbl>
    <w:p w:rsidR="00A9071D" w:rsidRDefault="00A9071D"/>
    <w:sectPr w:rsidR="00A9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7E5"/>
    <w:multiLevelType w:val="hybridMultilevel"/>
    <w:tmpl w:val="49C20F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3A4"/>
    <w:multiLevelType w:val="hybridMultilevel"/>
    <w:tmpl w:val="D2BE3A48"/>
    <w:lvl w:ilvl="0" w:tplc="040E0005">
      <w:start w:val="1"/>
      <w:numFmt w:val="bullet"/>
      <w:lvlText w:val="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6799307B"/>
    <w:multiLevelType w:val="hybridMultilevel"/>
    <w:tmpl w:val="178243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071D"/>
    <w:rsid w:val="00A9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A907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Csakszveg">
    <w:name w:val="Plain Text"/>
    <w:basedOn w:val="Norml"/>
    <w:link w:val="CsakszvegChar"/>
    <w:rsid w:val="00A9071D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9071D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rsid w:val="00A9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4483</Characters>
  <Application>Microsoft Office Word</Application>
  <DocSecurity>0</DocSecurity>
  <Lines>37</Lines>
  <Paragraphs>10</Paragraphs>
  <ScaleCrop>false</ScaleCrop>
  <Company>EKF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2009-05-25T10:41:00Z</dcterms:created>
  <dcterms:modified xsi:type="dcterms:W3CDTF">2009-05-25T10:41:00Z</dcterms:modified>
</cp:coreProperties>
</file>