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7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4069"/>
        <w:gridCol w:w="2338"/>
        <w:gridCol w:w="2874"/>
      </w:tblGrid>
      <w:tr w:rsidR="00E3357B" w:rsidRPr="000124BC" w:rsidTr="00800CEF">
        <w:trPr>
          <w:trHeight w:val="255"/>
        </w:trPr>
        <w:tc>
          <w:tcPr>
            <w:tcW w:w="4075" w:type="dxa"/>
            <w:gridSpan w:val="2"/>
            <w:shd w:val="clear" w:color="auto" w:fill="FFFFFF"/>
            <w:vAlign w:val="bottom"/>
          </w:tcPr>
          <w:p w:rsidR="00E3357B" w:rsidRPr="000124BC" w:rsidRDefault="00E3357B" w:rsidP="00800CEF">
            <w:pPr>
              <w:ind w:left="292" w:right="-108"/>
              <w:rPr>
                <w:b/>
              </w:rPr>
            </w:pPr>
            <w:r w:rsidRPr="000124BC">
              <w:rPr>
                <w:b/>
              </w:rPr>
              <w:t>A tantárgy megnevezése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  <w:rPr>
                <w:b/>
              </w:rPr>
            </w:pPr>
            <w:r w:rsidRPr="000124BC">
              <w:rPr>
                <w:b/>
              </w:rPr>
              <w:t>Kód</w:t>
            </w:r>
          </w:p>
        </w:tc>
        <w:tc>
          <w:tcPr>
            <w:tcW w:w="2874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</w:pPr>
            <w:r w:rsidRPr="000124BC">
              <w:rPr>
                <w:b/>
              </w:rPr>
              <w:t>Kreditszám:</w:t>
            </w:r>
          </w:p>
        </w:tc>
      </w:tr>
      <w:tr w:rsidR="00E3357B" w:rsidRPr="000124BC" w:rsidTr="00800CEF">
        <w:trPr>
          <w:trHeight w:val="270"/>
        </w:trPr>
        <w:tc>
          <w:tcPr>
            <w:tcW w:w="4075" w:type="dxa"/>
            <w:gridSpan w:val="2"/>
            <w:shd w:val="clear" w:color="auto" w:fill="FFFFFF"/>
            <w:vAlign w:val="bottom"/>
          </w:tcPr>
          <w:p w:rsidR="00E3357B" w:rsidRPr="000124BC" w:rsidRDefault="00E3357B" w:rsidP="00800CEF">
            <w:pPr>
              <w:ind w:left="292" w:right="135"/>
            </w:pPr>
            <w:r w:rsidRPr="000124BC">
              <w:t>Adatbázis-elemzés a társadalomtörténeti kutatásban (Szabályozottan választható I.)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77"/>
            </w:pPr>
            <w:r>
              <w:t>NMB_TD119G2</w:t>
            </w:r>
          </w:p>
        </w:tc>
        <w:tc>
          <w:tcPr>
            <w:tcW w:w="2874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</w:pPr>
            <w:r w:rsidRPr="000124BC">
              <w:t>2</w:t>
            </w:r>
          </w:p>
        </w:tc>
      </w:tr>
      <w:tr w:rsidR="00E3357B" w:rsidRPr="000124BC" w:rsidTr="00800CEF">
        <w:trPr>
          <w:trHeight w:val="255"/>
        </w:trPr>
        <w:tc>
          <w:tcPr>
            <w:tcW w:w="4075" w:type="dxa"/>
            <w:gridSpan w:val="2"/>
            <w:shd w:val="clear" w:color="auto" w:fill="FFFFFF"/>
            <w:vAlign w:val="bottom"/>
          </w:tcPr>
          <w:p w:rsidR="00E3357B" w:rsidRPr="000124BC" w:rsidRDefault="00E3357B" w:rsidP="00800CEF">
            <w:pPr>
              <w:ind w:left="292" w:right="-108"/>
              <w:rPr>
                <w:b/>
              </w:rPr>
            </w:pPr>
            <w:r w:rsidRPr="000124BC">
              <w:rPr>
                <w:b/>
              </w:rPr>
              <w:t>A tantárgyért felelős szervezeti egység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  <w:rPr>
                <w:b/>
              </w:rPr>
            </w:pPr>
            <w:r w:rsidRPr="000124BC">
              <w:rPr>
                <w:b/>
              </w:rPr>
              <w:t>A kurzus jellege</w:t>
            </w:r>
          </w:p>
        </w:tc>
        <w:tc>
          <w:tcPr>
            <w:tcW w:w="2874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</w:pPr>
            <w:r w:rsidRPr="000124BC">
              <w:rPr>
                <w:b/>
              </w:rPr>
              <w:t xml:space="preserve">Kontaktóraszám: </w:t>
            </w:r>
          </w:p>
        </w:tc>
      </w:tr>
      <w:tr w:rsidR="00E3357B" w:rsidRPr="000124BC" w:rsidTr="00800CEF">
        <w:trPr>
          <w:trHeight w:val="270"/>
        </w:trPr>
        <w:tc>
          <w:tcPr>
            <w:tcW w:w="4075" w:type="dxa"/>
            <w:gridSpan w:val="2"/>
            <w:shd w:val="clear" w:color="auto" w:fill="FFFFFF"/>
            <w:vAlign w:val="bottom"/>
          </w:tcPr>
          <w:p w:rsidR="00E3357B" w:rsidRPr="000124BC" w:rsidRDefault="00E3357B" w:rsidP="00800CEF">
            <w:pPr>
              <w:ind w:left="292" w:right="-108"/>
            </w:pPr>
            <w:r w:rsidRPr="000124BC">
              <w:t>KF BTK Történelemtudományi Intézet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</w:pPr>
            <w:r w:rsidRPr="000124BC">
              <w:t>Szeminárium</w:t>
            </w:r>
          </w:p>
        </w:tc>
        <w:tc>
          <w:tcPr>
            <w:tcW w:w="2874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</w:pPr>
            <w:r w:rsidRPr="000124BC">
              <w:t>30</w:t>
            </w:r>
          </w:p>
        </w:tc>
      </w:tr>
      <w:tr w:rsidR="00E3357B" w:rsidRPr="000124BC" w:rsidTr="00800CEF">
        <w:trPr>
          <w:trHeight w:val="255"/>
        </w:trPr>
        <w:tc>
          <w:tcPr>
            <w:tcW w:w="4075" w:type="dxa"/>
            <w:gridSpan w:val="2"/>
            <w:shd w:val="clear" w:color="auto" w:fill="FFFFFF"/>
            <w:vAlign w:val="bottom"/>
          </w:tcPr>
          <w:p w:rsidR="00E3357B" w:rsidRPr="000124BC" w:rsidRDefault="00E3357B" w:rsidP="00800CEF">
            <w:pPr>
              <w:ind w:left="292" w:right="-108"/>
              <w:rPr>
                <w:b/>
              </w:rPr>
            </w:pPr>
            <w:r w:rsidRPr="000124BC">
              <w:rPr>
                <w:b/>
              </w:rPr>
              <w:t>Előfeltételek</w:t>
            </w:r>
          </w:p>
        </w:tc>
        <w:tc>
          <w:tcPr>
            <w:tcW w:w="2338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  <w:rPr>
                <w:b/>
              </w:rPr>
            </w:pPr>
            <w:r w:rsidRPr="000124BC">
              <w:rPr>
                <w:b/>
              </w:rPr>
              <w:t>Az értékelés formája</w:t>
            </w:r>
          </w:p>
        </w:tc>
        <w:tc>
          <w:tcPr>
            <w:tcW w:w="2874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  <w:rPr>
                <w:b/>
              </w:rPr>
            </w:pPr>
            <w:r w:rsidRPr="000124BC">
              <w:rPr>
                <w:b/>
              </w:rPr>
              <w:t> </w:t>
            </w:r>
          </w:p>
        </w:tc>
      </w:tr>
      <w:tr w:rsidR="00E3357B" w:rsidRPr="000124BC" w:rsidTr="00800CEF">
        <w:trPr>
          <w:trHeight w:val="270"/>
        </w:trPr>
        <w:tc>
          <w:tcPr>
            <w:tcW w:w="4075" w:type="dxa"/>
            <w:gridSpan w:val="2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  <w:rPr>
                <w:b/>
              </w:rPr>
            </w:pPr>
          </w:p>
        </w:tc>
        <w:tc>
          <w:tcPr>
            <w:tcW w:w="2338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</w:pPr>
            <w:r w:rsidRPr="000124BC">
              <w:t>Gyakorlati jegy</w:t>
            </w:r>
          </w:p>
        </w:tc>
        <w:tc>
          <w:tcPr>
            <w:tcW w:w="2874" w:type="dxa"/>
            <w:shd w:val="clear" w:color="auto" w:fill="FFFFFF"/>
            <w:vAlign w:val="bottom"/>
          </w:tcPr>
          <w:p w:rsidR="00E3357B" w:rsidRPr="000124BC" w:rsidRDefault="00E3357B" w:rsidP="00800CEF">
            <w:pPr>
              <w:ind w:left="180" w:right="-108"/>
            </w:pPr>
          </w:p>
        </w:tc>
      </w:tr>
      <w:tr w:rsidR="00E3357B" w:rsidRPr="000124BC" w:rsidTr="00800CEF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6" w:type="dxa"/>
          <w:trHeight w:val="735"/>
        </w:trPr>
        <w:tc>
          <w:tcPr>
            <w:tcW w:w="9281" w:type="dxa"/>
            <w:gridSpan w:val="3"/>
            <w:shd w:val="clear" w:color="auto" w:fill="FFFFFF"/>
          </w:tcPr>
          <w:p w:rsidR="00E3357B" w:rsidRPr="000124BC" w:rsidRDefault="00E3357B" w:rsidP="00800CEF">
            <w:pPr>
              <w:tabs>
                <w:tab w:val="left" w:pos="691"/>
              </w:tabs>
              <w:ind w:left="282"/>
              <w:rPr>
                <w:b/>
                <w:bCs/>
              </w:rPr>
            </w:pP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  <w:rPr>
                <w:b/>
                <w:bCs/>
              </w:rPr>
            </w:pPr>
            <w:r w:rsidRPr="000124BC">
              <w:rPr>
                <w:b/>
                <w:bCs/>
              </w:rPr>
              <w:t>Cél: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  <w:rPr>
                <w:b/>
                <w:bCs/>
              </w:rPr>
            </w:pPr>
            <w:r w:rsidRPr="000124BC">
              <w:t>A tantárgyat választó hallgatók önálló kutatási készségek fejlesztése, a későbbi PhD képzésen való részvétel kutatás-módszertani elősegítése. A félév során nagymértékben támaszkodunk a „Számítástechnika alkalmazása a kutatásban” tárgy gyakorlatai során elsajátított ismeretekre, azokat alkalmazzuk a társadalomtörténeti, demográfiai problémák megoldására.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  <w:rPr>
                <w:b/>
                <w:bCs/>
              </w:rPr>
            </w:pP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  <w:rPr>
                <w:b/>
                <w:bCs/>
              </w:rPr>
            </w:pPr>
            <w:r w:rsidRPr="000124BC">
              <w:rPr>
                <w:b/>
                <w:bCs/>
              </w:rPr>
              <w:t xml:space="preserve">Tartalom: </w:t>
            </w:r>
          </w:p>
          <w:p w:rsidR="00E3357B" w:rsidRPr="000124BC" w:rsidRDefault="00E3357B" w:rsidP="00E3357B">
            <w:pPr>
              <w:numPr>
                <w:ilvl w:val="0"/>
                <w:numId w:val="1"/>
              </w:numPr>
              <w:tabs>
                <w:tab w:val="left" w:pos="691"/>
              </w:tabs>
              <w:ind w:left="282" w:firstLine="0"/>
            </w:pPr>
            <w:r w:rsidRPr="000124BC">
              <w:t>Az adatbázis elemzés alkalmazási lehetőségei a történettudományban</w:t>
            </w:r>
          </w:p>
          <w:p w:rsidR="00E3357B" w:rsidRPr="000124BC" w:rsidRDefault="00E3357B" w:rsidP="00E3357B">
            <w:pPr>
              <w:numPr>
                <w:ilvl w:val="1"/>
                <w:numId w:val="2"/>
              </w:numPr>
              <w:tabs>
                <w:tab w:val="left" w:pos="691"/>
              </w:tabs>
              <w:ind w:left="282" w:firstLine="0"/>
            </w:pPr>
            <w:proofErr w:type="spellStart"/>
            <w:r w:rsidRPr="000124BC">
              <w:t>Adatbázisépítés</w:t>
            </w:r>
            <w:proofErr w:type="spellEnd"/>
            <w:r w:rsidRPr="000124BC">
              <w:t xml:space="preserve"> az </w:t>
            </w:r>
            <w:proofErr w:type="spellStart"/>
            <w:r w:rsidRPr="000124BC">
              <w:t>Ms</w:t>
            </w:r>
            <w:proofErr w:type="spellEnd"/>
            <w:r w:rsidRPr="000124BC">
              <w:t xml:space="preserve"> Access 2007 program keretén belül, megadott példa alapján tanári vezetéssel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t>4-5. A lekérdezés típusainak megismerése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t>6. Az önálló adatbázis felépítésének órai előkészítése, a lehetőségek, feldolgozható források áttekintése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t>A félév második felében a közösen készített adatbázisból származtatott, lekérdezett adatokkal végzünk statisztikai elemzéseket az SPSS program segítségével. Ha adataink az egyes statisztikai eljáráshoz nem megfelelőek, akkor társadalomtörténeti vonatkozású adatokat hívunk segítségül.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t>7. Az egyváltozós elemzések áttekintése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t>8. A kereszttábla-elemzés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t>9. Varianciaelemzés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t>10. Korrelációszámítás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t xml:space="preserve">11. </w:t>
            </w:r>
            <w:proofErr w:type="spellStart"/>
            <w:r w:rsidRPr="000124BC">
              <w:t>Regressziószámítás</w:t>
            </w:r>
            <w:proofErr w:type="spellEnd"/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t>12. Faktorelemzés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t>13. Klaszterelemzés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t>14. Az önállóan elkészített adatbázis statisztikai elemzési lehetőségeinek az áttekintése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  <w:rPr>
                <w:b/>
                <w:bCs/>
              </w:rPr>
            </w:pP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  <w:rPr>
                <w:i/>
              </w:rPr>
            </w:pPr>
            <w:r w:rsidRPr="000124BC">
              <w:rPr>
                <w:b/>
                <w:bCs/>
              </w:rPr>
              <w:t>Módszerek:</w:t>
            </w:r>
            <w:r w:rsidRPr="000124BC">
              <w:t xml:space="preserve"> gyakorlati foglakozás számítástechnikai laboratóriumban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282"/>
            </w:pPr>
            <w:r w:rsidRPr="000124BC">
              <w:rPr>
                <w:b/>
              </w:rPr>
              <w:t xml:space="preserve">Követelmények, a tanegység teljesítésének feltételei: </w:t>
            </w:r>
            <w:r w:rsidRPr="000124BC">
              <w:t>Az önállóan készített adatbázis elemzése dolgozat formájában, gyakorlati jegy.</w:t>
            </w:r>
          </w:p>
        </w:tc>
      </w:tr>
      <w:tr w:rsidR="00E3357B" w:rsidRPr="000124BC" w:rsidTr="00800CEF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6" w:type="dxa"/>
          <w:trHeight w:val="735"/>
        </w:trPr>
        <w:tc>
          <w:tcPr>
            <w:tcW w:w="9281" w:type="dxa"/>
            <w:gridSpan w:val="3"/>
            <w:shd w:val="clear" w:color="auto" w:fill="FFFFFF"/>
          </w:tcPr>
          <w:p w:rsidR="00E3357B" w:rsidRPr="000124BC" w:rsidRDefault="00E3357B" w:rsidP="00800CEF">
            <w:pPr>
              <w:tabs>
                <w:tab w:val="left" w:pos="691"/>
              </w:tabs>
              <w:ind w:left="707" w:hanging="425"/>
              <w:rPr>
                <w:b/>
                <w:bCs/>
              </w:rPr>
            </w:pPr>
            <w:r w:rsidRPr="000124BC">
              <w:rPr>
                <w:b/>
                <w:bCs/>
              </w:rPr>
              <w:t>Kötelező olvasmányok:</w:t>
            </w:r>
          </w:p>
          <w:p w:rsidR="00E3357B" w:rsidRPr="000124BC" w:rsidRDefault="00E3357B" w:rsidP="00E3357B">
            <w:pPr>
              <w:numPr>
                <w:ilvl w:val="0"/>
                <w:numId w:val="3"/>
              </w:numPr>
              <w:tabs>
                <w:tab w:val="left" w:pos="691"/>
              </w:tabs>
              <w:ind w:left="707" w:hanging="425"/>
              <w:rPr>
                <w:i/>
                <w:iCs/>
              </w:rPr>
            </w:pPr>
            <w:r w:rsidRPr="000124BC">
              <w:t xml:space="preserve">Falus Iván - Ollé János: </w:t>
            </w:r>
            <w:r w:rsidRPr="000124BC">
              <w:rPr>
                <w:i/>
              </w:rPr>
              <w:t>Az empirikus kutatások gyakorlata</w:t>
            </w:r>
            <w:r w:rsidRPr="000124BC">
              <w:t>. Bp., 2008, 341 p.</w:t>
            </w:r>
          </w:p>
          <w:p w:rsidR="00E3357B" w:rsidRPr="000124BC" w:rsidRDefault="00E3357B" w:rsidP="00E3357B">
            <w:pPr>
              <w:numPr>
                <w:ilvl w:val="0"/>
                <w:numId w:val="3"/>
              </w:numPr>
              <w:tabs>
                <w:tab w:val="left" w:pos="691"/>
              </w:tabs>
              <w:ind w:left="707" w:hanging="425"/>
              <w:rPr>
                <w:bCs/>
                <w:smallCaps/>
              </w:rPr>
            </w:pPr>
            <w:r w:rsidRPr="000124BC">
              <w:rPr>
                <w:bCs/>
              </w:rPr>
              <w:t xml:space="preserve">Sajtos László - </w:t>
            </w:r>
            <w:proofErr w:type="spellStart"/>
            <w:r w:rsidRPr="000124BC">
              <w:rPr>
                <w:bCs/>
              </w:rPr>
              <w:t>Mitev</w:t>
            </w:r>
            <w:proofErr w:type="spellEnd"/>
            <w:r w:rsidRPr="000124BC">
              <w:rPr>
                <w:bCs/>
              </w:rPr>
              <w:t xml:space="preserve"> Ariel: </w:t>
            </w:r>
            <w:r w:rsidRPr="000124BC">
              <w:rPr>
                <w:bCs/>
                <w:i/>
              </w:rPr>
              <w:t>SPSS Kutatási és adatfeldolgozási kézikönyv</w:t>
            </w:r>
            <w:r w:rsidRPr="000124BC">
              <w:rPr>
                <w:bCs/>
              </w:rPr>
              <w:t>. Bp.</w:t>
            </w:r>
            <w:r w:rsidRPr="000124BC">
              <w:rPr>
                <w:bCs/>
                <w:smallCaps/>
              </w:rPr>
              <w:t xml:space="preserve">, 2007, 402 </w:t>
            </w:r>
            <w:r w:rsidRPr="000124BC">
              <w:t>p.</w:t>
            </w:r>
          </w:p>
          <w:p w:rsidR="00E3357B" w:rsidRPr="000124BC" w:rsidRDefault="00E3357B" w:rsidP="00E3357B">
            <w:pPr>
              <w:numPr>
                <w:ilvl w:val="0"/>
                <w:numId w:val="3"/>
              </w:numPr>
              <w:tabs>
                <w:tab w:val="left" w:pos="691"/>
              </w:tabs>
              <w:ind w:left="707" w:hanging="425"/>
            </w:pPr>
            <w:proofErr w:type="spellStart"/>
            <w:r w:rsidRPr="000124BC">
              <w:t>Pétery</w:t>
            </w:r>
            <w:proofErr w:type="spellEnd"/>
            <w:r w:rsidRPr="000124BC">
              <w:t xml:space="preserve"> </w:t>
            </w:r>
            <w:proofErr w:type="gramStart"/>
            <w:r w:rsidRPr="000124BC">
              <w:t>Kristóf :</w:t>
            </w:r>
            <w:proofErr w:type="gramEnd"/>
            <w:r w:rsidRPr="000124BC">
              <w:t xml:space="preserve"> </w:t>
            </w:r>
            <w:r w:rsidRPr="000124BC">
              <w:rPr>
                <w:i/>
              </w:rPr>
              <w:t>Adatbázis-kezelés MS Office 2007</w:t>
            </w:r>
            <w:r w:rsidRPr="000124BC">
              <w:t xml:space="preserve">-tel. Bp., </w:t>
            </w:r>
            <w:proofErr w:type="spellStart"/>
            <w:r w:rsidRPr="000124BC">
              <w:t>é.n</w:t>
            </w:r>
            <w:proofErr w:type="spellEnd"/>
            <w:r w:rsidRPr="000124BC">
              <w:t>. (elektronikus kiadvány)</w:t>
            </w:r>
          </w:p>
          <w:p w:rsidR="00E3357B" w:rsidRPr="000124BC" w:rsidRDefault="00E3357B" w:rsidP="00800CEF">
            <w:pPr>
              <w:tabs>
                <w:tab w:val="left" w:pos="691"/>
              </w:tabs>
              <w:ind w:left="707" w:hanging="425"/>
            </w:pPr>
            <w:r w:rsidRPr="000124BC">
              <w:rPr>
                <w:b/>
              </w:rPr>
              <w:t>Ajánlott irodalom</w:t>
            </w:r>
            <w:r w:rsidRPr="000124BC">
              <w:t>:</w:t>
            </w:r>
          </w:p>
          <w:p w:rsidR="00E3357B" w:rsidRPr="000124BC" w:rsidRDefault="00E3357B" w:rsidP="00E3357B">
            <w:pPr>
              <w:numPr>
                <w:ilvl w:val="0"/>
                <w:numId w:val="4"/>
              </w:numPr>
              <w:tabs>
                <w:tab w:val="left" w:pos="691"/>
              </w:tabs>
              <w:ind w:left="707" w:hanging="425"/>
              <w:rPr>
                <w:bCs/>
              </w:rPr>
            </w:pPr>
            <w:r w:rsidRPr="000124BC">
              <w:rPr>
                <w:bCs/>
              </w:rPr>
              <w:t>A kvantitatív társadalomkutatás modelljei. Klasszikus módszertani írások. Válogatta: Bertalan László. Bp., 2006, 218 p.</w:t>
            </w:r>
          </w:p>
          <w:p w:rsidR="00E3357B" w:rsidRPr="000124BC" w:rsidRDefault="00E3357B" w:rsidP="00E3357B">
            <w:pPr>
              <w:numPr>
                <w:ilvl w:val="0"/>
                <w:numId w:val="4"/>
              </w:numPr>
              <w:tabs>
                <w:tab w:val="left" w:pos="691"/>
              </w:tabs>
              <w:ind w:left="707" w:hanging="425"/>
              <w:rPr>
                <w:bCs/>
                <w:iCs/>
              </w:rPr>
            </w:pPr>
            <w:proofErr w:type="spellStart"/>
            <w:r w:rsidRPr="000124BC">
              <w:rPr>
                <w:bCs/>
              </w:rPr>
              <w:t>Ketskeméty</w:t>
            </w:r>
            <w:proofErr w:type="spellEnd"/>
            <w:r w:rsidRPr="000124BC">
              <w:rPr>
                <w:bCs/>
              </w:rPr>
              <w:t xml:space="preserve"> László - Izsó </w:t>
            </w:r>
            <w:proofErr w:type="gramStart"/>
            <w:r w:rsidRPr="000124BC">
              <w:rPr>
                <w:bCs/>
              </w:rPr>
              <w:t>Lajos</w:t>
            </w:r>
            <w:r w:rsidRPr="000124BC">
              <w:rPr>
                <w:bCs/>
                <w:smallCaps/>
              </w:rPr>
              <w:t xml:space="preserve"> :</w:t>
            </w:r>
            <w:proofErr w:type="gramEnd"/>
            <w:r w:rsidRPr="000124BC">
              <w:rPr>
                <w:bCs/>
                <w:smallCaps/>
              </w:rPr>
              <w:t xml:space="preserve"> </w:t>
            </w:r>
            <w:r w:rsidRPr="000124BC">
              <w:rPr>
                <w:bCs/>
                <w:i/>
                <w:smallCaps/>
              </w:rPr>
              <w:t xml:space="preserve">Bevezetés az SPSS programrendszerébe. </w:t>
            </w:r>
            <w:r w:rsidRPr="000124BC">
              <w:rPr>
                <w:bCs/>
                <w:i/>
                <w:iCs/>
              </w:rPr>
              <w:t xml:space="preserve">Módszertani útmutató és feladatgyűjtemény statisztikai elemzésekhez. </w:t>
            </w:r>
            <w:r w:rsidRPr="000124BC">
              <w:rPr>
                <w:bCs/>
                <w:iCs/>
              </w:rPr>
              <w:t>Bp., 2005</w:t>
            </w:r>
            <w:r w:rsidRPr="000124BC">
              <w:rPr>
                <w:bCs/>
                <w:i/>
                <w:iCs/>
              </w:rPr>
              <w:t>,</w:t>
            </w:r>
            <w:r w:rsidRPr="000124BC">
              <w:rPr>
                <w:bCs/>
                <w:iCs/>
              </w:rPr>
              <w:t xml:space="preserve"> 459 p.</w:t>
            </w:r>
          </w:p>
          <w:p w:rsidR="00E3357B" w:rsidRPr="000124BC" w:rsidRDefault="00E3357B" w:rsidP="00E3357B">
            <w:pPr>
              <w:pStyle w:val="Szvegtrzsbehzssal"/>
              <w:numPr>
                <w:ilvl w:val="0"/>
                <w:numId w:val="4"/>
              </w:numPr>
              <w:tabs>
                <w:tab w:val="left" w:pos="691"/>
              </w:tabs>
              <w:ind w:left="707" w:hanging="425"/>
              <w:rPr>
                <w:rFonts w:ascii="Times New Roman" w:hAnsi="Times New Roman"/>
                <w:sz w:val="20"/>
                <w:lang w:val="hu-HU"/>
              </w:rPr>
            </w:pPr>
            <w:proofErr w:type="spellStart"/>
            <w:r w:rsidRPr="000124BC">
              <w:rPr>
                <w:rFonts w:ascii="Times New Roman" w:hAnsi="Times New Roman"/>
                <w:sz w:val="20"/>
                <w:lang w:val="hu-HU"/>
              </w:rPr>
              <w:t>Benda</w:t>
            </w:r>
            <w:proofErr w:type="spellEnd"/>
            <w:r w:rsidRPr="000124BC">
              <w:rPr>
                <w:rFonts w:ascii="Times New Roman" w:hAnsi="Times New Roman"/>
                <w:sz w:val="20"/>
                <w:lang w:val="hu-HU"/>
              </w:rPr>
              <w:t xml:space="preserve"> Gyula: </w:t>
            </w:r>
            <w:r w:rsidRPr="000124BC">
              <w:rPr>
                <w:rFonts w:ascii="Times New Roman" w:hAnsi="Times New Roman"/>
                <w:i/>
                <w:sz w:val="20"/>
                <w:lang w:val="hu-HU"/>
              </w:rPr>
              <w:t>Statisztikai adatok a magyar mezőgazdaság történetéhez 1767–1867</w:t>
            </w:r>
            <w:r w:rsidRPr="000124BC">
              <w:rPr>
                <w:rFonts w:ascii="Times New Roman" w:hAnsi="Times New Roman"/>
                <w:sz w:val="20"/>
                <w:lang w:val="hu-HU"/>
              </w:rPr>
              <w:t xml:space="preserve">. </w:t>
            </w:r>
            <w:r w:rsidRPr="000124BC">
              <w:rPr>
                <w:rFonts w:ascii="Times New Roman" w:hAnsi="Times New Roman"/>
                <w:i/>
                <w:sz w:val="20"/>
                <w:lang w:val="hu-HU"/>
              </w:rPr>
              <w:t>Számok és történelem, 1.</w:t>
            </w:r>
            <w:r w:rsidRPr="000124BC">
              <w:rPr>
                <w:rFonts w:ascii="Times New Roman" w:hAnsi="Times New Roman"/>
                <w:sz w:val="20"/>
                <w:lang w:val="hu-HU"/>
              </w:rPr>
              <w:t xml:space="preserve"> Bp., 1973, 457 p.</w:t>
            </w:r>
          </w:p>
          <w:p w:rsidR="00E3357B" w:rsidRPr="000124BC" w:rsidRDefault="00E3357B" w:rsidP="00E3357B">
            <w:pPr>
              <w:pStyle w:val="Szvegtrzsbehzssal"/>
              <w:numPr>
                <w:ilvl w:val="0"/>
                <w:numId w:val="4"/>
              </w:numPr>
              <w:tabs>
                <w:tab w:val="left" w:pos="691"/>
              </w:tabs>
              <w:ind w:left="707" w:hanging="425"/>
              <w:rPr>
                <w:rFonts w:ascii="Times New Roman" w:hAnsi="Times New Roman"/>
                <w:bCs/>
                <w:sz w:val="20"/>
                <w:lang w:val="hu-HU"/>
              </w:rPr>
            </w:pPr>
            <w:r w:rsidRPr="000124BC">
              <w:rPr>
                <w:rFonts w:ascii="Times New Roman" w:hAnsi="Times New Roman"/>
                <w:bCs/>
                <w:sz w:val="20"/>
                <w:lang w:val="hu-HU"/>
              </w:rPr>
              <w:t>Kovacsics József: A történeti statisztikai helységnévtárak és a térségi szemlélet. In</w:t>
            </w:r>
            <w:proofErr w:type="gramStart"/>
            <w:r w:rsidRPr="000124BC">
              <w:rPr>
                <w:rFonts w:ascii="Times New Roman" w:hAnsi="Times New Roman"/>
                <w:bCs/>
                <w:sz w:val="20"/>
                <w:lang w:val="hu-HU"/>
              </w:rPr>
              <w:t>.:</w:t>
            </w:r>
            <w:proofErr w:type="gramEnd"/>
            <w:r w:rsidRPr="000124BC">
              <w:rPr>
                <w:rFonts w:ascii="Times New Roman" w:hAnsi="Times New Roman"/>
                <w:bCs/>
                <w:sz w:val="20"/>
                <w:lang w:val="hu-HU"/>
              </w:rPr>
              <w:t xml:space="preserve"> </w:t>
            </w:r>
            <w:r w:rsidRPr="000124BC">
              <w:rPr>
                <w:rFonts w:ascii="Times New Roman" w:hAnsi="Times New Roman"/>
                <w:bCs/>
                <w:i/>
                <w:sz w:val="20"/>
                <w:lang w:val="hu-HU"/>
              </w:rPr>
              <w:t>Statisztikai szemle</w:t>
            </w:r>
            <w:r w:rsidRPr="000124BC">
              <w:rPr>
                <w:rFonts w:ascii="Times New Roman" w:hAnsi="Times New Roman"/>
                <w:bCs/>
                <w:sz w:val="20"/>
                <w:lang w:val="hu-HU"/>
              </w:rPr>
              <w:t>. 2002/10-11. 983-1006. p.</w:t>
            </w:r>
          </w:p>
          <w:p w:rsidR="00E3357B" w:rsidRPr="000124BC" w:rsidRDefault="00E3357B" w:rsidP="00E3357B">
            <w:pPr>
              <w:pStyle w:val="Szvegtrzsbehzssal"/>
              <w:numPr>
                <w:ilvl w:val="0"/>
                <w:numId w:val="4"/>
              </w:numPr>
              <w:tabs>
                <w:tab w:val="left" w:pos="691"/>
              </w:tabs>
              <w:ind w:left="707" w:hanging="425"/>
              <w:rPr>
                <w:rFonts w:ascii="Times New Roman" w:hAnsi="Times New Roman"/>
                <w:bCs/>
                <w:sz w:val="20"/>
                <w:lang w:val="hu-HU"/>
              </w:rPr>
            </w:pPr>
            <w:r w:rsidRPr="000124BC">
              <w:rPr>
                <w:rFonts w:ascii="Times New Roman" w:hAnsi="Times New Roman"/>
                <w:color w:val="000000"/>
                <w:sz w:val="20"/>
                <w:lang w:val="hu-HU"/>
              </w:rPr>
              <w:t xml:space="preserve">Nagy Mariann: </w:t>
            </w:r>
            <w:r w:rsidRPr="000124BC">
              <w:rPr>
                <w:rFonts w:ascii="Times New Roman" w:hAnsi="Times New Roman"/>
                <w:i/>
                <w:color w:val="000000"/>
                <w:sz w:val="20"/>
                <w:lang w:val="hu-HU"/>
              </w:rPr>
              <w:t>A magyar mezőgazdaság regionális szerkezete a 20. század elején</w:t>
            </w:r>
            <w:r w:rsidRPr="000124BC">
              <w:rPr>
                <w:rFonts w:ascii="Times New Roman" w:hAnsi="Times New Roman"/>
                <w:color w:val="000000"/>
                <w:sz w:val="20"/>
                <w:lang w:val="hu-HU"/>
              </w:rPr>
              <w:t>. Bp., 2003, 459 p.</w:t>
            </w:r>
          </w:p>
          <w:p w:rsidR="00E3357B" w:rsidRPr="000124BC" w:rsidRDefault="00E3357B" w:rsidP="00E3357B">
            <w:pPr>
              <w:pStyle w:val="Szvegtrzsbehzssal"/>
              <w:numPr>
                <w:ilvl w:val="0"/>
                <w:numId w:val="4"/>
              </w:numPr>
              <w:shd w:val="clear" w:color="auto" w:fill="FFFFFF"/>
              <w:tabs>
                <w:tab w:val="left" w:pos="691"/>
              </w:tabs>
              <w:ind w:left="707" w:hanging="425"/>
              <w:rPr>
                <w:rFonts w:ascii="Times New Roman" w:hAnsi="Times New Roman"/>
                <w:bCs/>
                <w:sz w:val="20"/>
                <w:lang w:val="hu-HU"/>
              </w:rPr>
            </w:pPr>
            <w:r w:rsidRPr="000124BC">
              <w:rPr>
                <w:rStyle w:val="Hiperhivatkozs"/>
                <w:rFonts w:ascii="Times New Roman" w:hAnsi="Times New Roman"/>
                <w:sz w:val="20"/>
                <w:lang w:val="hu-HU"/>
              </w:rPr>
              <w:t xml:space="preserve">Pap József: Két választás Magyarországon". Az országgyűlési képviselők társadalmi összetétele a 20. század első éveiben. </w:t>
            </w:r>
            <w:proofErr w:type="spellStart"/>
            <w:r w:rsidRPr="000124BC">
              <w:rPr>
                <w:rStyle w:val="Hiperhivatkozs"/>
                <w:rFonts w:ascii="Times New Roman" w:hAnsi="Times New Roman"/>
                <w:i/>
                <w:sz w:val="20"/>
                <w:lang w:val="hu-HU"/>
              </w:rPr>
              <w:t>Aetas</w:t>
            </w:r>
            <w:proofErr w:type="spellEnd"/>
            <w:r w:rsidRPr="000124BC">
              <w:rPr>
                <w:rStyle w:val="Hiperhivatkozs"/>
                <w:rFonts w:ascii="Times New Roman" w:hAnsi="Times New Roman"/>
                <w:sz w:val="20"/>
                <w:lang w:val="hu-HU"/>
              </w:rPr>
              <w:t>, 2007/1. 5-31. p.</w:t>
            </w:r>
          </w:p>
        </w:tc>
      </w:tr>
      <w:tr w:rsidR="00E3357B" w:rsidRPr="000124BC" w:rsidTr="00800CEF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6" w:type="dxa"/>
          <w:trHeight w:val="735"/>
        </w:trPr>
        <w:tc>
          <w:tcPr>
            <w:tcW w:w="9281" w:type="dxa"/>
            <w:gridSpan w:val="3"/>
            <w:shd w:val="clear" w:color="auto" w:fill="FFFFFF"/>
          </w:tcPr>
          <w:p w:rsidR="00E3357B" w:rsidRPr="000124BC" w:rsidRDefault="00E3357B" w:rsidP="00800CEF">
            <w:pPr>
              <w:ind w:left="282"/>
            </w:pPr>
            <w:r w:rsidRPr="000124BC">
              <w:rPr>
                <w:b/>
              </w:rPr>
              <w:t xml:space="preserve">Tantárgyfelelős: </w:t>
            </w:r>
            <w:r w:rsidRPr="000124BC">
              <w:t>Pap József</w:t>
            </w:r>
          </w:p>
          <w:p w:rsidR="00E3357B" w:rsidRPr="000124BC" w:rsidRDefault="00E3357B" w:rsidP="00800CEF">
            <w:pPr>
              <w:ind w:left="282"/>
              <w:rPr>
                <w:b/>
              </w:rPr>
            </w:pPr>
            <w:r>
              <w:rPr>
                <w:b/>
              </w:rPr>
              <w:t xml:space="preserve">Oktató: </w:t>
            </w:r>
            <w:r w:rsidRPr="000124BC">
              <w:t>Pap József</w:t>
            </w:r>
          </w:p>
        </w:tc>
      </w:tr>
    </w:tbl>
    <w:p w:rsidR="00BF2254" w:rsidRDefault="00BF2254"/>
    <w:sectPr w:rsidR="00BF2254" w:rsidSect="00BF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7E9"/>
    <w:multiLevelType w:val="hybridMultilevel"/>
    <w:tmpl w:val="B36243B4"/>
    <w:lvl w:ilvl="0" w:tplc="D7FC68B6">
      <w:start w:val="1"/>
      <w:numFmt w:val="decimal"/>
      <w:lvlText w:val="%1."/>
      <w:lvlJc w:val="left"/>
      <w:pPr>
        <w:ind w:left="118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722" w:hanging="360"/>
      </w:pPr>
    </w:lvl>
    <w:lvl w:ilvl="2" w:tplc="040E001B" w:tentative="1">
      <w:start w:val="1"/>
      <w:numFmt w:val="lowerRoman"/>
      <w:lvlText w:val="%3."/>
      <w:lvlJc w:val="right"/>
      <w:pPr>
        <w:ind w:left="2442" w:hanging="180"/>
      </w:pPr>
    </w:lvl>
    <w:lvl w:ilvl="3" w:tplc="040E000F" w:tentative="1">
      <w:start w:val="1"/>
      <w:numFmt w:val="decimal"/>
      <w:lvlText w:val="%4."/>
      <w:lvlJc w:val="left"/>
      <w:pPr>
        <w:ind w:left="3162" w:hanging="360"/>
      </w:pPr>
    </w:lvl>
    <w:lvl w:ilvl="4" w:tplc="040E0019" w:tentative="1">
      <w:start w:val="1"/>
      <w:numFmt w:val="lowerLetter"/>
      <w:lvlText w:val="%5."/>
      <w:lvlJc w:val="left"/>
      <w:pPr>
        <w:ind w:left="3882" w:hanging="360"/>
      </w:pPr>
    </w:lvl>
    <w:lvl w:ilvl="5" w:tplc="040E001B" w:tentative="1">
      <w:start w:val="1"/>
      <w:numFmt w:val="lowerRoman"/>
      <w:lvlText w:val="%6."/>
      <w:lvlJc w:val="right"/>
      <w:pPr>
        <w:ind w:left="4602" w:hanging="180"/>
      </w:pPr>
    </w:lvl>
    <w:lvl w:ilvl="6" w:tplc="040E000F" w:tentative="1">
      <w:start w:val="1"/>
      <w:numFmt w:val="decimal"/>
      <w:lvlText w:val="%7."/>
      <w:lvlJc w:val="left"/>
      <w:pPr>
        <w:ind w:left="5322" w:hanging="360"/>
      </w:pPr>
    </w:lvl>
    <w:lvl w:ilvl="7" w:tplc="040E0019" w:tentative="1">
      <w:start w:val="1"/>
      <w:numFmt w:val="lowerLetter"/>
      <w:lvlText w:val="%8."/>
      <w:lvlJc w:val="left"/>
      <w:pPr>
        <w:ind w:left="6042" w:hanging="360"/>
      </w:pPr>
    </w:lvl>
    <w:lvl w:ilvl="8" w:tplc="040E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FDC68E5"/>
    <w:multiLevelType w:val="hybridMultilevel"/>
    <w:tmpl w:val="CA163BDC"/>
    <w:lvl w:ilvl="0" w:tplc="7628471E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2" w:hanging="360"/>
      </w:pPr>
    </w:lvl>
    <w:lvl w:ilvl="2" w:tplc="040E001B" w:tentative="1">
      <w:start w:val="1"/>
      <w:numFmt w:val="lowerRoman"/>
      <w:lvlText w:val="%3."/>
      <w:lvlJc w:val="right"/>
      <w:pPr>
        <w:ind w:left="2442" w:hanging="180"/>
      </w:pPr>
    </w:lvl>
    <w:lvl w:ilvl="3" w:tplc="040E000F" w:tentative="1">
      <w:start w:val="1"/>
      <w:numFmt w:val="decimal"/>
      <w:lvlText w:val="%4."/>
      <w:lvlJc w:val="left"/>
      <w:pPr>
        <w:ind w:left="3162" w:hanging="360"/>
      </w:pPr>
    </w:lvl>
    <w:lvl w:ilvl="4" w:tplc="040E0019" w:tentative="1">
      <w:start w:val="1"/>
      <w:numFmt w:val="lowerLetter"/>
      <w:lvlText w:val="%5."/>
      <w:lvlJc w:val="left"/>
      <w:pPr>
        <w:ind w:left="3882" w:hanging="360"/>
      </w:pPr>
    </w:lvl>
    <w:lvl w:ilvl="5" w:tplc="040E001B" w:tentative="1">
      <w:start w:val="1"/>
      <w:numFmt w:val="lowerRoman"/>
      <w:lvlText w:val="%6."/>
      <w:lvlJc w:val="right"/>
      <w:pPr>
        <w:ind w:left="4602" w:hanging="180"/>
      </w:pPr>
    </w:lvl>
    <w:lvl w:ilvl="6" w:tplc="040E000F" w:tentative="1">
      <w:start w:val="1"/>
      <w:numFmt w:val="decimal"/>
      <w:lvlText w:val="%7."/>
      <w:lvlJc w:val="left"/>
      <w:pPr>
        <w:ind w:left="5322" w:hanging="360"/>
      </w:pPr>
    </w:lvl>
    <w:lvl w:ilvl="7" w:tplc="040E0019" w:tentative="1">
      <w:start w:val="1"/>
      <w:numFmt w:val="lowerLetter"/>
      <w:lvlText w:val="%8."/>
      <w:lvlJc w:val="left"/>
      <w:pPr>
        <w:ind w:left="6042" w:hanging="360"/>
      </w:pPr>
    </w:lvl>
    <w:lvl w:ilvl="8" w:tplc="040E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5FE118DF"/>
    <w:multiLevelType w:val="multilevel"/>
    <w:tmpl w:val="CFD0DE82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CE6529B"/>
    <w:multiLevelType w:val="hybridMultilevel"/>
    <w:tmpl w:val="2BDCE2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57B"/>
    <w:rsid w:val="00A53A86"/>
    <w:rsid w:val="00BF2254"/>
    <w:rsid w:val="00E3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57B"/>
    <w:pPr>
      <w:ind w:left="181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E3357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E3357B"/>
    <w:pPr>
      <w:keepNext/>
      <w:keepLines/>
      <w:ind w:left="708"/>
    </w:pPr>
    <w:rPr>
      <w:rFonts w:ascii="TimesCE" w:hAnsi="TimesCE"/>
      <w:sz w:val="24"/>
      <w:lang w:val="en-GB"/>
    </w:rPr>
  </w:style>
  <w:style w:type="character" w:customStyle="1" w:styleId="SzvegtrzsbehzssalChar">
    <w:name w:val="Szövegtörzs behúzással Char"/>
    <w:basedOn w:val="Bekezdsalapbettpusa"/>
    <w:link w:val="Szvegtrzsbehzssal"/>
    <w:rsid w:val="00E3357B"/>
    <w:rPr>
      <w:rFonts w:ascii="TimesCE" w:eastAsia="Times New Roman" w:hAnsi="TimesCE" w:cs="Times New Roman"/>
      <w:sz w:val="24"/>
      <w:szCs w:val="20"/>
      <w:lang w:val="en-GB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2516</Characters>
  <Application>Microsoft Office Word</Application>
  <DocSecurity>0</DocSecurity>
  <Lines>20</Lines>
  <Paragraphs>5</Paragraphs>
  <ScaleCrop>false</ScaleCrop>
  <Company>EKF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GTI</dc:creator>
  <cp:keywords/>
  <dc:description/>
  <cp:lastModifiedBy>GTI</cp:lastModifiedBy>
  <cp:revision>1</cp:revision>
  <dcterms:created xsi:type="dcterms:W3CDTF">2010-08-18T10:52:00Z</dcterms:created>
  <dcterms:modified xsi:type="dcterms:W3CDTF">2010-08-18T10:52:00Z</dcterms:modified>
</cp:coreProperties>
</file>