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7" w:type="dxa"/>
        <w:tblInd w:w="-107" w:type="dxa"/>
        <w:tblLayout w:type="fixed"/>
        <w:tblCellMar>
          <w:left w:w="0" w:type="dxa"/>
          <w:right w:w="0" w:type="dxa"/>
        </w:tblCellMar>
        <w:tblLook w:val="0000"/>
      </w:tblPr>
      <w:tblGrid>
        <w:gridCol w:w="4072"/>
        <w:gridCol w:w="2340"/>
        <w:gridCol w:w="2875"/>
      </w:tblGrid>
      <w:tr w:rsidR="004E2DCE" w:rsidRPr="00D150B6" w:rsidTr="009F22AD">
        <w:trPr>
          <w:trHeight w:val="255"/>
        </w:trPr>
        <w:tc>
          <w:tcPr>
            <w:tcW w:w="4072" w:type="dxa"/>
            <w:tcBorders>
              <w:top w:val="single" w:sz="4" w:space="0" w:color="auto"/>
              <w:left w:val="single" w:sz="4" w:space="0" w:color="auto"/>
              <w:bottom w:val="nil"/>
              <w:right w:val="single" w:sz="8" w:space="0" w:color="auto"/>
            </w:tcBorders>
            <w:vAlign w:val="bottom"/>
          </w:tcPr>
          <w:p w:rsidR="004E2DCE" w:rsidRPr="00D150B6" w:rsidRDefault="004E2DCE" w:rsidP="009F22AD">
            <w:pPr>
              <w:jc w:val="both"/>
              <w:rPr>
                <w:b/>
              </w:rPr>
            </w:pPr>
            <w:r w:rsidRPr="00D150B6">
              <w:rPr>
                <w:b/>
              </w:rPr>
              <w:t>A tantárgy megnevezése:</w:t>
            </w:r>
          </w:p>
        </w:tc>
        <w:tc>
          <w:tcPr>
            <w:tcW w:w="2340" w:type="dxa"/>
            <w:tcBorders>
              <w:top w:val="single" w:sz="4" w:space="0" w:color="auto"/>
              <w:left w:val="nil"/>
              <w:bottom w:val="nil"/>
              <w:right w:val="single" w:sz="8" w:space="0" w:color="auto"/>
            </w:tcBorders>
            <w:vAlign w:val="bottom"/>
          </w:tcPr>
          <w:p w:rsidR="004E2DCE" w:rsidRPr="00D150B6" w:rsidRDefault="004E2DCE" w:rsidP="009F22AD">
            <w:pPr>
              <w:jc w:val="both"/>
              <w:rPr>
                <w:b/>
              </w:rPr>
            </w:pPr>
            <w:r w:rsidRPr="00D150B6">
              <w:rPr>
                <w:b/>
              </w:rPr>
              <w:t xml:space="preserve">Kód: </w:t>
            </w:r>
          </w:p>
        </w:tc>
        <w:tc>
          <w:tcPr>
            <w:tcW w:w="2875" w:type="dxa"/>
            <w:tcBorders>
              <w:top w:val="single" w:sz="4" w:space="0" w:color="auto"/>
              <w:left w:val="nil"/>
              <w:bottom w:val="nil"/>
              <w:right w:val="single" w:sz="4" w:space="0" w:color="auto"/>
            </w:tcBorders>
            <w:vAlign w:val="bottom"/>
          </w:tcPr>
          <w:p w:rsidR="004E2DCE" w:rsidRPr="00D150B6" w:rsidRDefault="004E2DCE" w:rsidP="009F22AD">
            <w:pPr>
              <w:jc w:val="both"/>
              <w:rPr>
                <w:b/>
              </w:rPr>
            </w:pPr>
            <w:r w:rsidRPr="00D150B6">
              <w:rPr>
                <w:b/>
              </w:rPr>
              <w:t>Kreditszám:</w:t>
            </w:r>
          </w:p>
        </w:tc>
      </w:tr>
      <w:tr w:rsidR="004E2DCE" w:rsidRPr="00D150B6" w:rsidTr="009F22AD">
        <w:trPr>
          <w:trHeight w:val="270"/>
        </w:trPr>
        <w:tc>
          <w:tcPr>
            <w:tcW w:w="4072" w:type="dxa"/>
            <w:tcBorders>
              <w:top w:val="nil"/>
              <w:left w:val="single" w:sz="4" w:space="0" w:color="auto"/>
              <w:bottom w:val="single" w:sz="8" w:space="0" w:color="auto"/>
              <w:right w:val="single" w:sz="8" w:space="0" w:color="auto"/>
            </w:tcBorders>
            <w:vAlign w:val="bottom"/>
          </w:tcPr>
          <w:p w:rsidR="004E2DCE" w:rsidRPr="00D150B6" w:rsidRDefault="004E2DCE" w:rsidP="009F22AD">
            <w:pPr>
              <w:jc w:val="both"/>
              <w:rPr>
                <w:b/>
              </w:rPr>
            </w:pPr>
            <w:r w:rsidRPr="00D150B6">
              <w:rPr>
                <w:b/>
              </w:rPr>
              <w:t>Interkulturális aspektusok a 19-21. századi német nyelvű irodalomban</w:t>
            </w:r>
          </w:p>
        </w:tc>
        <w:tc>
          <w:tcPr>
            <w:tcW w:w="2340" w:type="dxa"/>
            <w:tcBorders>
              <w:top w:val="nil"/>
              <w:left w:val="nil"/>
              <w:bottom w:val="single" w:sz="8" w:space="0" w:color="auto"/>
              <w:right w:val="single" w:sz="8" w:space="0" w:color="auto"/>
            </w:tcBorders>
            <w:vAlign w:val="bottom"/>
          </w:tcPr>
          <w:p w:rsidR="004E2DCE" w:rsidRPr="00D150B6" w:rsidRDefault="00471DD5" w:rsidP="009F22AD">
            <w:pPr>
              <w:jc w:val="both"/>
              <w:rPr>
                <w:b/>
              </w:rPr>
            </w:pPr>
            <w:r>
              <w:rPr>
                <w:b/>
              </w:rPr>
              <w:t> L</w:t>
            </w:r>
            <w:r w:rsidR="004E2DCE" w:rsidRPr="00D150B6">
              <w:rPr>
                <w:b/>
              </w:rPr>
              <w:t>MB_NE121K2</w:t>
            </w:r>
          </w:p>
        </w:tc>
        <w:tc>
          <w:tcPr>
            <w:tcW w:w="2875" w:type="dxa"/>
            <w:tcBorders>
              <w:top w:val="nil"/>
              <w:left w:val="nil"/>
              <w:bottom w:val="single" w:sz="8" w:space="0" w:color="auto"/>
              <w:right w:val="single" w:sz="4" w:space="0" w:color="auto"/>
            </w:tcBorders>
            <w:vAlign w:val="bottom"/>
          </w:tcPr>
          <w:p w:rsidR="004E2DCE" w:rsidRPr="00D150B6" w:rsidRDefault="004E2DCE" w:rsidP="009F22AD">
            <w:pPr>
              <w:jc w:val="both"/>
              <w:rPr>
                <w:b/>
              </w:rPr>
            </w:pPr>
            <w:r w:rsidRPr="00D150B6">
              <w:rPr>
                <w:b/>
              </w:rPr>
              <w:t xml:space="preserve"> 2</w:t>
            </w:r>
          </w:p>
        </w:tc>
      </w:tr>
      <w:tr w:rsidR="004E2DCE" w:rsidRPr="00D150B6" w:rsidTr="009F22AD">
        <w:trPr>
          <w:trHeight w:val="255"/>
        </w:trPr>
        <w:tc>
          <w:tcPr>
            <w:tcW w:w="4072" w:type="dxa"/>
            <w:tcBorders>
              <w:top w:val="nil"/>
              <w:left w:val="single" w:sz="4" w:space="0" w:color="auto"/>
              <w:bottom w:val="nil"/>
              <w:right w:val="single" w:sz="4" w:space="0" w:color="auto"/>
            </w:tcBorders>
            <w:vAlign w:val="bottom"/>
          </w:tcPr>
          <w:p w:rsidR="004E2DCE" w:rsidRPr="00D150B6" w:rsidRDefault="004E2DCE" w:rsidP="009F22AD">
            <w:pPr>
              <w:jc w:val="both"/>
              <w:rPr>
                <w:b/>
              </w:rPr>
            </w:pPr>
            <w:r w:rsidRPr="00D150B6">
              <w:rPr>
                <w:b/>
              </w:rPr>
              <w:t>A tantárgyért felelős szervezeti egység:</w:t>
            </w:r>
          </w:p>
        </w:tc>
        <w:tc>
          <w:tcPr>
            <w:tcW w:w="2340" w:type="dxa"/>
            <w:tcBorders>
              <w:top w:val="nil"/>
              <w:left w:val="nil"/>
              <w:bottom w:val="nil"/>
              <w:right w:val="single" w:sz="4" w:space="0" w:color="auto"/>
            </w:tcBorders>
            <w:vAlign w:val="bottom"/>
          </w:tcPr>
          <w:p w:rsidR="004E2DCE" w:rsidRPr="00D150B6" w:rsidRDefault="004E2DCE" w:rsidP="009F22AD">
            <w:pPr>
              <w:jc w:val="both"/>
              <w:rPr>
                <w:b/>
              </w:rPr>
            </w:pPr>
            <w:r w:rsidRPr="00D150B6">
              <w:rPr>
                <w:b/>
              </w:rPr>
              <w:t>A kurzus jellege:</w:t>
            </w:r>
          </w:p>
        </w:tc>
        <w:tc>
          <w:tcPr>
            <w:tcW w:w="2875" w:type="dxa"/>
            <w:tcBorders>
              <w:top w:val="nil"/>
              <w:left w:val="nil"/>
              <w:bottom w:val="nil"/>
              <w:right w:val="single" w:sz="4" w:space="0" w:color="auto"/>
            </w:tcBorders>
            <w:vAlign w:val="bottom"/>
          </w:tcPr>
          <w:p w:rsidR="004E2DCE" w:rsidRPr="00D150B6" w:rsidRDefault="004E2DCE" w:rsidP="009F22AD">
            <w:pPr>
              <w:jc w:val="both"/>
              <w:rPr>
                <w:b/>
              </w:rPr>
            </w:pPr>
            <w:r w:rsidRPr="00D150B6">
              <w:rPr>
                <w:b/>
              </w:rPr>
              <w:t>Kontaktóraszám:</w:t>
            </w:r>
          </w:p>
        </w:tc>
      </w:tr>
      <w:tr w:rsidR="004E2DCE" w:rsidRPr="00D150B6" w:rsidTr="009F22AD">
        <w:trPr>
          <w:trHeight w:val="270"/>
        </w:trPr>
        <w:tc>
          <w:tcPr>
            <w:tcW w:w="4072" w:type="dxa"/>
            <w:tcBorders>
              <w:top w:val="nil"/>
              <w:left w:val="single" w:sz="4" w:space="0" w:color="auto"/>
              <w:bottom w:val="single" w:sz="8" w:space="0" w:color="auto"/>
              <w:right w:val="single" w:sz="4" w:space="0" w:color="auto"/>
            </w:tcBorders>
            <w:vAlign w:val="bottom"/>
          </w:tcPr>
          <w:p w:rsidR="004E2DCE" w:rsidRPr="00D150B6" w:rsidRDefault="004E2DCE" w:rsidP="009F22AD">
            <w:pPr>
              <w:jc w:val="both"/>
              <w:rPr>
                <w:b/>
              </w:rPr>
            </w:pPr>
            <w:r w:rsidRPr="00D150B6">
              <w:rPr>
                <w:b/>
              </w:rPr>
              <w:t xml:space="preserve"> Német Nyelv és Irodalom Tanszék</w:t>
            </w:r>
          </w:p>
        </w:tc>
        <w:tc>
          <w:tcPr>
            <w:tcW w:w="2340" w:type="dxa"/>
            <w:tcBorders>
              <w:top w:val="nil"/>
              <w:left w:val="nil"/>
              <w:bottom w:val="single" w:sz="8" w:space="0" w:color="auto"/>
              <w:right w:val="single" w:sz="4" w:space="0" w:color="auto"/>
            </w:tcBorders>
            <w:vAlign w:val="bottom"/>
          </w:tcPr>
          <w:p w:rsidR="004E2DCE" w:rsidRPr="00D150B6" w:rsidRDefault="004E2DCE" w:rsidP="009F22AD">
            <w:pPr>
              <w:jc w:val="both"/>
              <w:rPr>
                <w:b/>
                <w:i/>
              </w:rPr>
            </w:pPr>
            <w:r w:rsidRPr="00D150B6">
              <w:rPr>
                <w:b/>
              </w:rPr>
              <w:t xml:space="preserve"> előadás</w:t>
            </w:r>
          </w:p>
        </w:tc>
        <w:tc>
          <w:tcPr>
            <w:tcW w:w="2875" w:type="dxa"/>
            <w:tcBorders>
              <w:top w:val="nil"/>
              <w:left w:val="nil"/>
              <w:bottom w:val="single" w:sz="8" w:space="0" w:color="auto"/>
              <w:right w:val="single" w:sz="4" w:space="0" w:color="auto"/>
            </w:tcBorders>
            <w:vAlign w:val="bottom"/>
          </w:tcPr>
          <w:p w:rsidR="004E2DCE" w:rsidRPr="00D150B6" w:rsidRDefault="00471DD5" w:rsidP="009F22AD">
            <w:pPr>
              <w:jc w:val="both"/>
              <w:rPr>
                <w:b/>
              </w:rPr>
            </w:pPr>
            <w:r>
              <w:rPr>
                <w:b/>
              </w:rPr>
              <w:t xml:space="preserve"> 15</w:t>
            </w:r>
          </w:p>
        </w:tc>
      </w:tr>
      <w:tr w:rsidR="004E2DCE" w:rsidRPr="00D150B6" w:rsidTr="009F22AD">
        <w:trPr>
          <w:trHeight w:val="255"/>
        </w:trPr>
        <w:tc>
          <w:tcPr>
            <w:tcW w:w="4072" w:type="dxa"/>
            <w:tcBorders>
              <w:top w:val="nil"/>
              <w:left w:val="single" w:sz="4" w:space="0" w:color="auto"/>
              <w:right w:val="single" w:sz="4" w:space="0" w:color="auto"/>
            </w:tcBorders>
            <w:vAlign w:val="bottom"/>
          </w:tcPr>
          <w:p w:rsidR="004E2DCE" w:rsidRPr="00D150B6" w:rsidRDefault="004E2DCE" w:rsidP="009F22AD">
            <w:pPr>
              <w:jc w:val="both"/>
              <w:rPr>
                <w:b/>
              </w:rPr>
            </w:pPr>
            <w:r w:rsidRPr="00D150B6">
              <w:rPr>
                <w:b/>
              </w:rPr>
              <w:t>Előfeltételek:</w:t>
            </w:r>
          </w:p>
        </w:tc>
        <w:tc>
          <w:tcPr>
            <w:tcW w:w="2340" w:type="dxa"/>
            <w:tcBorders>
              <w:top w:val="nil"/>
              <w:left w:val="nil"/>
              <w:right w:val="single" w:sz="4" w:space="0" w:color="auto"/>
            </w:tcBorders>
            <w:vAlign w:val="bottom"/>
          </w:tcPr>
          <w:p w:rsidR="004E2DCE" w:rsidRPr="00D150B6" w:rsidRDefault="004E2DCE" w:rsidP="009F22AD">
            <w:pPr>
              <w:jc w:val="both"/>
              <w:rPr>
                <w:b/>
              </w:rPr>
            </w:pPr>
            <w:r w:rsidRPr="00D150B6">
              <w:rPr>
                <w:b/>
              </w:rPr>
              <w:t>Az értékelés formája:</w:t>
            </w:r>
          </w:p>
        </w:tc>
        <w:tc>
          <w:tcPr>
            <w:tcW w:w="2875" w:type="dxa"/>
            <w:tcBorders>
              <w:top w:val="nil"/>
              <w:left w:val="nil"/>
              <w:right w:val="single" w:sz="4" w:space="0" w:color="auto"/>
            </w:tcBorders>
            <w:vAlign w:val="bottom"/>
          </w:tcPr>
          <w:p w:rsidR="004E2DCE" w:rsidRPr="00D150B6" w:rsidRDefault="004E2DCE" w:rsidP="009F22AD">
            <w:pPr>
              <w:jc w:val="both"/>
              <w:rPr>
                <w:b/>
              </w:rPr>
            </w:pPr>
            <w:r w:rsidRPr="00D150B6">
              <w:rPr>
                <w:b/>
              </w:rPr>
              <w:t> </w:t>
            </w:r>
          </w:p>
        </w:tc>
      </w:tr>
      <w:tr w:rsidR="004E2DCE" w:rsidRPr="00D150B6" w:rsidTr="009F22AD">
        <w:trPr>
          <w:trHeight w:val="270"/>
        </w:trPr>
        <w:tc>
          <w:tcPr>
            <w:tcW w:w="4072" w:type="dxa"/>
            <w:tcBorders>
              <w:top w:val="nil"/>
              <w:left w:val="single" w:sz="4" w:space="0" w:color="auto"/>
              <w:bottom w:val="single" w:sz="4" w:space="0" w:color="auto"/>
              <w:right w:val="single" w:sz="4" w:space="0" w:color="auto"/>
            </w:tcBorders>
            <w:vAlign w:val="bottom"/>
          </w:tcPr>
          <w:p w:rsidR="004E2DCE" w:rsidRPr="00D150B6" w:rsidRDefault="004E2DCE" w:rsidP="009F22AD">
            <w:pPr>
              <w:jc w:val="both"/>
              <w:rPr>
                <w:b/>
              </w:rPr>
            </w:pPr>
            <w:r w:rsidRPr="00D150B6">
              <w:rPr>
                <w:b/>
              </w:rPr>
              <w:t xml:space="preserve"> --</w:t>
            </w:r>
          </w:p>
        </w:tc>
        <w:tc>
          <w:tcPr>
            <w:tcW w:w="2340" w:type="dxa"/>
            <w:tcBorders>
              <w:top w:val="nil"/>
              <w:left w:val="nil"/>
              <w:bottom w:val="single" w:sz="4" w:space="0" w:color="auto"/>
              <w:right w:val="single" w:sz="4" w:space="0" w:color="auto"/>
            </w:tcBorders>
            <w:vAlign w:val="bottom"/>
          </w:tcPr>
          <w:p w:rsidR="004E2DCE" w:rsidRPr="00D150B6" w:rsidRDefault="004E2DCE" w:rsidP="009F22AD">
            <w:pPr>
              <w:jc w:val="both"/>
              <w:rPr>
                <w:b/>
                <w:i/>
              </w:rPr>
            </w:pPr>
            <w:r w:rsidRPr="00D150B6">
              <w:rPr>
                <w:b/>
              </w:rPr>
              <w:t xml:space="preserve"> kollokvium</w:t>
            </w:r>
          </w:p>
        </w:tc>
        <w:tc>
          <w:tcPr>
            <w:tcW w:w="2875" w:type="dxa"/>
            <w:tcBorders>
              <w:top w:val="nil"/>
              <w:left w:val="nil"/>
              <w:bottom w:val="single" w:sz="4" w:space="0" w:color="auto"/>
              <w:right w:val="single" w:sz="4" w:space="0" w:color="auto"/>
            </w:tcBorders>
            <w:vAlign w:val="bottom"/>
          </w:tcPr>
          <w:p w:rsidR="004E2DCE" w:rsidRPr="00D150B6" w:rsidRDefault="004E2DCE" w:rsidP="009F22AD">
            <w:pPr>
              <w:jc w:val="both"/>
              <w:rPr>
                <w:b/>
              </w:rPr>
            </w:pPr>
          </w:p>
        </w:tc>
      </w:tr>
      <w:tr w:rsidR="004E2DCE" w:rsidRPr="00D150B6" w:rsidTr="009F22AD">
        <w:trPr>
          <w:trHeight w:val="270"/>
        </w:trPr>
        <w:tc>
          <w:tcPr>
            <w:tcW w:w="9287" w:type="dxa"/>
            <w:gridSpan w:val="3"/>
            <w:tcBorders>
              <w:top w:val="single" w:sz="4" w:space="0" w:color="auto"/>
              <w:left w:val="single" w:sz="4" w:space="0" w:color="auto"/>
              <w:bottom w:val="single" w:sz="4" w:space="0" w:color="auto"/>
              <w:right w:val="single" w:sz="4" w:space="0" w:color="auto"/>
            </w:tcBorders>
            <w:vAlign w:val="bottom"/>
          </w:tcPr>
          <w:p w:rsidR="004E2DCE" w:rsidRPr="00D150B6" w:rsidRDefault="004E2DCE" w:rsidP="009F22AD">
            <w:pPr>
              <w:spacing w:before="120"/>
              <w:jc w:val="both"/>
              <w:rPr>
                <w:b/>
                <w:bCs/>
              </w:rPr>
            </w:pPr>
            <w:r w:rsidRPr="00D150B6">
              <w:rPr>
                <w:b/>
              </w:rPr>
              <w:t>Kompetenciák: (</w:t>
            </w:r>
            <w:r w:rsidRPr="00D150B6">
              <w:rPr>
                <w:b/>
                <w:bCs/>
              </w:rPr>
              <w:t>1, 4, 5, 9)</w:t>
            </w:r>
          </w:p>
          <w:p w:rsidR="004E2DCE" w:rsidRPr="00D150B6" w:rsidRDefault="004E2DCE" w:rsidP="009F22AD">
            <w:pPr>
              <w:jc w:val="both"/>
              <w:rPr>
                <w:color w:val="000000"/>
              </w:rPr>
            </w:pPr>
            <w:r w:rsidRPr="00D150B6">
              <w:rPr>
                <w:color w:val="000000"/>
              </w:rPr>
              <w:t>A tanulói személyiség fejlesztése.</w:t>
            </w:r>
          </w:p>
          <w:p w:rsidR="004E2DCE" w:rsidRPr="00D150B6" w:rsidRDefault="004E2DCE" w:rsidP="009F22AD">
            <w:pPr>
              <w:jc w:val="both"/>
              <w:rPr>
                <w:color w:val="000000"/>
              </w:rPr>
            </w:pPr>
            <w:r w:rsidRPr="00D150B6">
              <w:rPr>
                <w:color w:val="000000"/>
              </w:rPr>
              <w:t>A tanulók műveltségének, készségeinek és képességeinek fejlesztése a tudás felhasználásával.</w:t>
            </w:r>
          </w:p>
          <w:p w:rsidR="004E2DCE" w:rsidRPr="00D150B6" w:rsidRDefault="004E2DCE" w:rsidP="009F22AD">
            <w:pPr>
              <w:jc w:val="both"/>
              <w:rPr>
                <w:color w:val="000000"/>
              </w:rPr>
            </w:pPr>
            <w:r w:rsidRPr="00D150B6">
              <w:rPr>
                <w:color w:val="000000"/>
              </w:rPr>
              <w:t>Az egész életen át tartó tanulást megalapozó kompetenciák fejlesztése.</w:t>
            </w:r>
          </w:p>
          <w:p w:rsidR="004E2DCE" w:rsidRPr="00D150B6" w:rsidRDefault="004E2DCE" w:rsidP="009F22AD">
            <w:pPr>
              <w:jc w:val="both"/>
              <w:rPr>
                <w:color w:val="000000"/>
              </w:rPr>
            </w:pPr>
            <w:r w:rsidRPr="00D150B6">
              <w:rPr>
                <w:color w:val="000000"/>
              </w:rPr>
              <w:t>Önművelés, elkötelezettség a szakmai fejlődésre.</w:t>
            </w:r>
          </w:p>
          <w:p w:rsidR="004E2DCE" w:rsidRPr="00D150B6" w:rsidRDefault="004E2DCE" w:rsidP="009F22AD">
            <w:pPr>
              <w:jc w:val="both"/>
              <w:rPr>
                <w:b/>
              </w:rPr>
            </w:pPr>
            <w:r w:rsidRPr="00D150B6">
              <w:rPr>
                <w:b/>
              </w:rPr>
              <w:t xml:space="preserve">Tudás: </w:t>
            </w:r>
          </w:p>
          <w:p w:rsidR="004E2DCE" w:rsidRPr="00D150B6" w:rsidRDefault="004E2DCE" w:rsidP="009F22AD">
            <w:pPr>
              <w:jc w:val="both"/>
              <w:rPr>
                <w:bCs/>
              </w:rPr>
            </w:pPr>
            <w:r w:rsidRPr="00D150B6">
              <w:rPr>
                <w:bCs/>
              </w:rPr>
              <w:t>Mélyreható szövegelemzési ismeretek</w:t>
            </w:r>
          </w:p>
          <w:p w:rsidR="004E2DCE" w:rsidRPr="00D150B6" w:rsidRDefault="004E2DCE" w:rsidP="009F22AD">
            <w:pPr>
              <w:jc w:val="both"/>
            </w:pPr>
            <w:r w:rsidRPr="00D150B6">
              <w:t>Ismeri és érti más kultúrák értékvilágát.</w:t>
            </w:r>
          </w:p>
          <w:p w:rsidR="004E2DCE" w:rsidRPr="00D150B6" w:rsidRDefault="004E2DCE" w:rsidP="009F22AD">
            <w:pPr>
              <w:jc w:val="both"/>
            </w:pPr>
            <w:r w:rsidRPr="00D150B6">
              <w:t>Ismeri és érti a sztereotípiák működését és a módszereket, amelyekkel ezek gyengíthetők.</w:t>
            </w:r>
          </w:p>
          <w:p w:rsidR="004E2DCE" w:rsidRPr="00D150B6" w:rsidRDefault="004E2DCE" w:rsidP="009F22AD">
            <w:pPr>
              <w:jc w:val="both"/>
              <w:rPr>
                <w:b/>
              </w:rPr>
            </w:pPr>
            <w:r w:rsidRPr="00D150B6">
              <w:rPr>
                <w:b/>
              </w:rPr>
              <w:t xml:space="preserve">Attitűdök/nézetek: </w:t>
            </w:r>
          </w:p>
          <w:p w:rsidR="004E2DCE" w:rsidRPr="00D150B6" w:rsidRDefault="004E2DCE" w:rsidP="009F22AD">
            <w:pPr>
              <w:spacing w:before="60"/>
              <w:jc w:val="both"/>
              <w:rPr>
                <w:color w:val="000000"/>
              </w:rPr>
            </w:pPr>
            <w:r w:rsidRPr="00D150B6">
              <w:rPr>
                <w:color w:val="000000"/>
              </w:rPr>
              <w:t xml:space="preserve">A jelen és a közelmúlt iránti nyitottság. </w:t>
            </w:r>
          </w:p>
          <w:p w:rsidR="004E2DCE" w:rsidRPr="00D150B6" w:rsidRDefault="004E2DCE" w:rsidP="009F22AD">
            <w:pPr>
              <w:spacing w:before="60"/>
              <w:jc w:val="both"/>
              <w:rPr>
                <w:color w:val="000000"/>
              </w:rPr>
            </w:pPr>
            <w:r w:rsidRPr="00D150B6">
              <w:rPr>
                <w:color w:val="000000"/>
              </w:rPr>
              <w:t>Kreatív szemlélet.</w:t>
            </w:r>
          </w:p>
          <w:p w:rsidR="004E2DCE" w:rsidRPr="00D150B6" w:rsidRDefault="004E2DCE" w:rsidP="009F22AD">
            <w:pPr>
              <w:spacing w:before="60"/>
              <w:jc w:val="both"/>
              <w:rPr>
                <w:color w:val="000000"/>
              </w:rPr>
            </w:pPr>
            <w:r w:rsidRPr="00D150B6">
              <w:rPr>
                <w:color w:val="000000"/>
              </w:rPr>
              <w:t>Nyitottság a modernség iránt.</w:t>
            </w:r>
          </w:p>
          <w:p w:rsidR="004E2DCE" w:rsidRPr="00D150B6" w:rsidRDefault="004E2DCE" w:rsidP="009F22AD">
            <w:pPr>
              <w:spacing w:before="60"/>
              <w:jc w:val="both"/>
              <w:rPr>
                <w:color w:val="000000"/>
              </w:rPr>
            </w:pPr>
            <w:r w:rsidRPr="00D150B6">
              <w:rPr>
                <w:color w:val="000000"/>
              </w:rPr>
              <w:t xml:space="preserve">Kortársszerzők és műveik iránti érdeklődés.  </w:t>
            </w:r>
          </w:p>
          <w:p w:rsidR="004E2DCE" w:rsidRPr="00D150B6" w:rsidRDefault="004E2DCE" w:rsidP="009F22AD">
            <w:pPr>
              <w:jc w:val="both"/>
              <w:rPr>
                <w:b/>
              </w:rPr>
            </w:pPr>
            <w:r w:rsidRPr="00D150B6">
              <w:rPr>
                <w:b/>
              </w:rPr>
              <w:t xml:space="preserve">Képességek: </w:t>
            </w:r>
          </w:p>
          <w:p w:rsidR="004E2DCE" w:rsidRPr="00D150B6" w:rsidRDefault="004E2DCE" w:rsidP="009F22AD">
            <w:pPr>
              <w:jc w:val="both"/>
              <w:rPr>
                <w:bCs/>
              </w:rPr>
            </w:pPr>
            <w:r w:rsidRPr="00D150B6">
              <w:rPr>
                <w:bCs/>
              </w:rPr>
              <w:t>Elemző- és interpretációs készség</w:t>
            </w:r>
          </w:p>
          <w:p w:rsidR="004E2DCE" w:rsidRPr="00D150B6" w:rsidRDefault="004E2DCE" w:rsidP="009F22AD">
            <w:pPr>
              <w:jc w:val="both"/>
              <w:rPr>
                <w:bCs/>
              </w:rPr>
            </w:pPr>
            <w:r w:rsidRPr="00D150B6">
              <w:rPr>
                <w:bCs/>
              </w:rPr>
              <w:t>Asszociációs készség</w:t>
            </w:r>
          </w:p>
          <w:p w:rsidR="004E2DCE" w:rsidRPr="00D150B6" w:rsidRDefault="004E2DCE" w:rsidP="009F22AD">
            <w:pPr>
              <w:jc w:val="both"/>
            </w:pPr>
            <w:r w:rsidRPr="00D150B6">
              <w:t>Absztrakciós készség</w:t>
            </w:r>
          </w:p>
          <w:p w:rsidR="004E2DCE" w:rsidRPr="00D150B6" w:rsidRDefault="004E2DCE" w:rsidP="009F22AD">
            <w:pPr>
              <w:jc w:val="both"/>
              <w:rPr>
                <w:b/>
              </w:rPr>
            </w:pPr>
            <w:r w:rsidRPr="00D150B6">
              <w:rPr>
                <w:b/>
              </w:rPr>
              <w:t>Cél:</w:t>
            </w:r>
            <w:r w:rsidRPr="00D150B6">
              <w:rPr>
                <w:b/>
                <w:i/>
              </w:rPr>
              <w:t xml:space="preserve">  </w:t>
            </w:r>
          </w:p>
          <w:p w:rsidR="004E2DCE" w:rsidRPr="00D150B6" w:rsidRDefault="004E2DCE" w:rsidP="009F22AD">
            <w:pPr>
              <w:jc w:val="both"/>
            </w:pPr>
            <w:r w:rsidRPr="00D150B6">
              <w:t>Az interkulturalitás jelenségének vizsgálata a német nyelvű irodalomban a 19. századtól napjainkig. A kiválasztott bemutatandó irodalmi szövegek két vagy több kultúra hatása alatt születtek, így a kultúraköziség sokoldalú problematikáját tárják fel (nyelv, identitás, emlékezet, haza kérdése, stb.)</w:t>
            </w:r>
          </w:p>
          <w:p w:rsidR="004E2DCE" w:rsidRPr="00D150B6" w:rsidRDefault="004E2DCE" w:rsidP="009F22AD">
            <w:pPr>
              <w:jc w:val="both"/>
              <w:rPr>
                <w:b/>
              </w:rPr>
            </w:pPr>
            <w:r w:rsidRPr="00D150B6">
              <w:rPr>
                <w:b/>
              </w:rPr>
              <w:t xml:space="preserve">Tartalom: </w:t>
            </w:r>
          </w:p>
          <w:p w:rsidR="004E2DCE" w:rsidRPr="00D150B6" w:rsidRDefault="004E2DCE" w:rsidP="009F22AD">
            <w:pPr>
              <w:jc w:val="both"/>
            </w:pPr>
            <w:r w:rsidRPr="00D150B6">
              <w:t>Magyarországi és németországi szerzők olyan német és részben magyar nyelvű alkotásait mutatja be a tantárgy, amelyek a kultúraköziség problematikájával foglalkoznak. Felvázoljuk írójuk életművét, valamint az interkulturalitás jelenségének hátterét, sokrétű kultúrtörténeti vonatkozásait. Az előadás betekintést nyújt a 19. század e témába tartozó német nyelvű lírájába, drámájába és prózájába. A 20. századi és ma is alkotó írók közül különös hangsúllyal tárgyaljuk a több kultúra hatása alatt született német nyelvű műveket. Egyrészt azokra a jelentős szerzőkre fókuszálunk, akik a magyarországi német irodalom körébe tartoznak (Márton Kalász, Valéria Koch, Róbert Becker és mások), másrészt azokra, akik Magyarországról német nyelvterületre költözve elismert német írókká, írónőkké váltak (Zsuzsa Bánk, Terézia Mora, Zsuzsanna Gahse).</w:t>
            </w:r>
          </w:p>
          <w:p w:rsidR="004E2DCE" w:rsidRPr="00D150B6" w:rsidRDefault="004E2DCE" w:rsidP="009F22AD">
            <w:pPr>
              <w:jc w:val="both"/>
              <w:rPr>
                <w:b/>
              </w:rPr>
            </w:pPr>
            <w:r w:rsidRPr="00D150B6">
              <w:rPr>
                <w:b/>
              </w:rPr>
              <w:t>Módszerek:</w:t>
            </w:r>
          </w:p>
          <w:p w:rsidR="004E2DCE" w:rsidRPr="00D150B6" w:rsidRDefault="004E2DCE" w:rsidP="009F22AD">
            <w:pPr>
              <w:jc w:val="both"/>
            </w:pPr>
            <w:r w:rsidRPr="00D150B6">
              <w:t>Előadás, forráselemzés, ma élő írók vendégelőadása.</w:t>
            </w:r>
          </w:p>
          <w:p w:rsidR="004E2DCE" w:rsidRPr="00D150B6" w:rsidRDefault="004E2DCE" w:rsidP="009F22AD">
            <w:pPr>
              <w:jc w:val="both"/>
              <w:rPr>
                <w:b/>
              </w:rPr>
            </w:pPr>
            <w:r w:rsidRPr="00D150B6">
              <w:rPr>
                <w:b/>
              </w:rPr>
              <w:t>Követelmények, a tanegység teljesítésének feltételei:</w:t>
            </w:r>
          </w:p>
          <w:p w:rsidR="004E2DCE" w:rsidRPr="00D150B6" w:rsidRDefault="004E2DCE" w:rsidP="009F22AD">
            <w:pPr>
              <w:ind w:right="-108"/>
            </w:pPr>
            <w:r w:rsidRPr="00D150B6">
              <w:t>Szóbeli kollokvium</w:t>
            </w:r>
          </w:p>
        </w:tc>
      </w:tr>
      <w:tr w:rsidR="004E2DCE" w:rsidRPr="00D150B6" w:rsidTr="009F22AD">
        <w:trPr>
          <w:trHeight w:val="270"/>
        </w:trPr>
        <w:tc>
          <w:tcPr>
            <w:tcW w:w="9287" w:type="dxa"/>
            <w:gridSpan w:val="3"/>
            <w:tcBorders>
              <w:top w:val="single" w:sz="4" w:space="0" w:color="auto"/>
              <w:left w:val="single" w:sz="4" w:space="0" w:color="auto"/>
              <w:bottom w:val="single" w:sz="4" w:space="0" w:color="auto"/>
              <w:right w:val="single" w:sz="4" w:space="0" w:color="auto"/>
            </w:tcBorders>
            <w:vAlign w:val="bottom"/>
          </w:tcPr>
          <w:p w:rsidR="004E2DCE" w:rsidRPr="00D150B6" w:rsidRDefault="004E2DCE" w:rsidP="009F22AD">
            <w:pPr>
              <w:jc w:val="both"/>
              <w:rPr>
                <w:b/>
              </w:rPr>
            </w:pPr>
            <w:r w:rsidRPr="00D150B6">
              <w:rPr>
                <w:b/>
              </w:rPr>
              <w:t>Kötelező olvasmányok:</w:t>
            </w:r>
          </w:p>
          <w:p w:rsidR="004E2DCE" w:rsidRPr="00D150B6" w:rsidRDefault="004E2DCE" w:rsidP="009F22AD">
            <w:pPr>
              <w:jc w:val="both"/>
            </w:pPr>
            <w:r w:rsidRPr="00D150B6">
              <w:t>(Az alábbi, orientáló jellegű lista egyfelől bővíthető, másfelől pedig egy adott szemeszterre nézve szűkíthető válogatás alapjául szolgál.)</w:t>
            </w:r>
          </w:p>
          <w:p w:rsidR="004E2DCE" w:rsidRPr="00D150B6" w:rsidRDefault="004E2DCE" w:rsidP="004E2DCE">
            <w:pPr>
              <w:numPr>
                <w:ilvl w:val="0"/>
                <w:numId w:val="1"/>
              </w:numPr>
              <w:suppressAutoHyphens/>
              <w:jc w:val="both"/>
            </w:pPr>
            <w:r w:rsidRPr="00D150B6">
              <w:t>Kalász, Márton: Winterlamm. (Téli bárány) Graz : Styria, 1992.</w:t>
            </w:r>
          </w:p>
          <w:p w:rsidR="004E2DCE" w:rsidRPr="00D150B6" w:rsidRDefault="004E2DCE" w:rsidP="004E2DCE">
            <w:pPr>
              <w:numPr>
                <w:ilvl w:val="0"/>
                <w:numId w:val="1"/>
              </w:numPr>
              <w:suppressAutoHyphens/>
              <w:jc w:val="both"/>
            </w:pPr>
            <w:r w:rsidRPr="00D150B6">
              <w:t>Kalász, Márton: Dezimierungszettel. (Tizedelőcédulák) Budapest: VudAK, 2002.</w:t>
            </w:r>
          </w:p>
          <w:p w:rsidR="004E2DCE" w:rsidRPr="00D150B6" w:rsidRDefault="004E2DCE" w:rsidP="004E2DCE">
            <w:pPr>
              <w:numPr>
                <w:ilvl w:val="0"/>
                <w:numId w:val="1"/>
              </w:numPr>
              <w:suppressAutoHyphens/>
              <w:jc w:val="both"/>
            </w:pPr>
            <w:r w:rsidRPr="00D150B6">
              <w:t>Valeria Koch válogatott versek</w:t>
            </w:r>
          </w:p>
          <w:p w:rsidR="004E2DCE" w:rsidRPr="00D150B6" w:rsidRDefault="004E2DCE" w:rsidP="004E2DCE">
            <w:pPr>
              <w:numPr>
                <w:ilvl w:val="0"/>
                <w:numId w:val="1"/>
              </w:numPr>
              <w:suppressAutoHyphens/>
              <w:jc w:val="both"/>
            </w:pPr>
            <w:r w:rsidRPr="00D150B6">
              <w:t xml:space="preserve">Terézia Mora: Seltsame Materie. Erzählungen. Reinbek b. Hamburg: Rowohlt, 1999. </w:t>
            </w:r>
          </w:p>
          <w:p w:rsidR="004E2DCE" w:rsidRPr="00D150B6" w:rsidRDefault="004E2DCE" w:rsidP="004E2DCE">
            <w:pPr>
              <w:numPr>
                <w:ilvl w:val="0"/>
                <w:numId w:val="1"/>
              </w:numPr>
              <w:suppressAutoHyphens/>
              <w:jc w:val="both"/>
            </w:pPr>
            <w:r w:rsidRPr="00D150B6">
              <w:t>Zsuzsa Bánk: Der Schwimmer. Roman. Frankfurt/ M.: Fischer, 2002.</w:t>
            </w:r>
          </w:p>
          <w:p w:rsidR="004E2DCE" w:rsidRPr="00D150B6" w:rsidRDefault="004E2DCE" w:rsidP="004E2DCE">
            <w:pPr>
              <w:numPr>
                <w:ilvl w:val="0"/>
                <w:numId w:val="2"/>
              </w:numPr>
              <w:jc w:val="both"/>
              <w:rPr>
                <w:lang w:val="de-DE"/>
              </w:rPr>
            </w:pPr>
            <w:r w:rsidRPr="00D150B6">
              <w:rPr>
                <w:lang w:val="de-DE"/>
              </w:rPr>
              <w:t>Wierlacher, Alois/Bogner, Andrea (Hg.) (2003): Handbuch interkulturelle Germanistik. Stuttgart/Weimar: Metzler.</w:t>
            </w:r>
          </w:p>
          <w:p w:rsidR="004E2DCE" w:rsidRPr="00D150B6" w:rsidRDefault="004E2DCE" w:rsidP="004E2DCE">
            <w:pPr>
              <w:numPr>
                <w:ilvl w:val="0"/>
                <w:numId w:val="1"/>
              </w:numPr>
              <w:suppressAutoHyphens/>
              <w:jc w:val="both"/>
            </w:pPr>
            <w:r w:rsidRPr="00D150B6">
              <w:t>Tarnói, László – F. Balogh, András (Hg.) (1996, 1999, 2000): Deutschsprachige Texte aus Ungarn. Bd. 1-3. Budapest: Argumentum  (Legjelentősebb 19. századi szerzőktől egy-egy kiválasztott mű.)</w:t>
            </w:r>
          </w:p>
          <w:p w:rsidR="004E2DCE" w:rsidRPr="00D150B6" w:rsidRDefault="004E2DCE" w:rsidP="004E2DCE">
            <w:pPr>
              <w:numPr>
                <w:ilvl w:val="0"/>
                <w:numId w:val="1"/>
              </w:numPr>
              <w:suppressAutoHyphens/>
              <w:jc w:val="both"/>
            </w:pPr>
            <w:r w:rsidRPr="00D150B6">
              <w:t>Ackermann, Irmgard (1999): Der Beitrag ungarischer Autoren zur deutschsprachigen Gegenwartsliteratur. In: Schriftsteller zwischen zwei Sprachen und Kulturen. Hrsg. v. Antal Mádl und Peter Motzan. München: Verlag Südostdeutsches Kulturwerk, 311-335.</w:t>
            </w:r>
          </w:p>
          <w:p w:rsidR="004E2DCE" w:rsidRPr="00D150B6" w:rsidRDefault="004E2DCE" w:rsidP="004E2DCE">
            <w:pPr>
              <w:numPr>
                <w:ilvl w:val="0"/>
                <w:numId w:val="1"/>
              </w:numPr>
              <w:suppressAutoHyphens/>
              <w:jc w:val="both"/>
            </w:pPr>
            <w:r w:rsidRPr="00D150B6">
              <w:lastRenderedPageBreak/>
              <w:t>Gutjahr, Ortrud (2006): Von der Nationalkultur zur Interkulturalität. Zur literarischen Semantisierung und Differenzbestimmung kollektiver Identitätskonstrukte. In: Razbojnikova-Frateva, Maja/ Hans-Gerd Winter (Hg.): Interkulturalität und Nationalliteratur in der deutschsprachigen Literatur (= Germanica Neue Folge 2003/ 2004). Dresden: Thelem, 91-121.</w:t>
            </w:r>
          </w:p>
          <w:p w:rsidR="004E2DCE" w:rsidRPr="00D150B6" w:rsidRDefault="004E2DCE" w:rsidP="009F22AD">
            <w:pPr>
              <w:jc w:val="both"/>
              <w:rPr>
                <w:b/>
              </w:rPr>
            </w:pPr>
            <w:r w:rsidRPr="00D150B6">
              <w:rPr>
                <w:b/>
              </w:rPr>
              <w:t>Ajánlott irodalom:</w:t>
            </w:r>
          </w:p>
          <w:p w:rsidR="004E2DCE" w:rsidRPr="00D150B6" w:rsidRDefault="004E2DCE" w:rsidP="004E2DCE">
            <w:pPr>
              <w:numPr>
                <w:ilvl w:val="0"/>
                <w:numId w:val="1"/>
              </w:numPr>
              <w:suppressAutoHyphens/>
              <w:jc w:val="both"/>
            </w:pPr>
            <w:r w:rsidRPr="00D150B6">
              <w:t>Kegelmann, René (2008): „Erzähl ja niemandem, wie es passiert ist.“ Zur frühen Prosa von Terézia Mora. In: Wissenschaften im Dialog. Studien aus dem Bereich der Germanistik. Hrsg. v. Szabolcs János-Szatmári in Zusammenarbeit mit Judit Szűcs. Klausenburg/ Großwardein (= Großwardeiner Beiträge zur Germanistik 4), 317-330.</w:t>
            </w:r>
          </w:p>
          <w:p w:rsidR="004E2DCE" w:rsidRPr="00D150B6" w:rsidRDefault="004E2DCE" w:rsidP="004E2DCE">
            <w:pPr>
              <w:numPr>
                <w:ilvl w:val="0"/>
                <w:numId w:val="1"/>
              </w:numPr>
              <w:suppressAutoHyphens/>
              <w:jc w:val="both"/>
            </w:pPr>
            <w:r w:rsidRPr="00D150B6">
              <w:t>Kegelmann, René (2007): Zu Formen fragmentarisierter Erinnerung in Zsuzsa Bánks Roman „Der Schwimmer“, in: Germanistische Studien Band VI. Hrsg. von Mihály Harsányi und René Kegelmann. Eger, 163-172.</w:t>
            </w:r>
          </w:p>
          <w:p w:rsidR="004E2DCE" w:rsidRDefault="004E2DCE" w:rsidP="004E2DCE">
            <w:pPr>
              <w:numPr>
                <w:ilvl w:val="0"/>
                <w:numId w:val="1"/>
              </w:numPr>
              <w:suppressAutoHyphens/>
              <w:jc w:val="both"/>
            </w:pPr>
            <w:r w:rsidRPr="00D150B6">
              <w:t xml:space="preserve">Mecklenburg, Norbert (2008): Rettung des Besonderen. Deutsche Minderheitenliteratur zwischen Lokalität und Interkulturalität. In: Ders.: Das Mädchen aus der Fremde. Germanistik als interkulturelle Literaturwissenschaft. München: iudicium, 445-468. </w:t>
            </w:r>
          </w:p>
          <w:p w:rsidR="004E2DCE" w:rsidRPr="00D150B6" w:rsidRDefault="004E2DCE" w:rsidP="004E2DCE">
            <w:pPr>
              <w:numPr>
                <w:ilvl w:val="0"/>
                <w:numId w:val="1"/>
              </w:numPr>
              <w:suppressAutoHyphens/>
              <w:jc w:val="both"/>
            </w:pPr>
            <w:r w:rsidRPr="00D150B6">
              <w:t>Tóth Ágnes (2008): Hazatértek: németországi kitelepítésből visszatért magyarországi németek megpróbáltatásainak emlékezete. Budapest: Gondolat.</w:t>
            </w:r>
          </w:p>
        </w:tc>
      </w:tr>
      <w:tr w:rsidR="004E2DCE" w:rsidRPr="00D150B6" w:rsidTr="009F22AD">
        <w:trPr>
          <w:trHeight w:val="270"/>
        </w:trPr>
        <w:tc>
          <w:tcPr>
            <w:tcW w:w="9287" w:type="dxa"/>
            <w:gridSpan w:val="3"/>
            <w:tcBorders>
              <w:top w:val="single" w:sz="4" w:space="0" w:color="auto"/>
              <w:left w:val="single" w:sz="4" w:space="0" w:color="auto"/>
              <w:bottom w:val="single" w:sz="4" w:space="0" w:color="auto"/>
              <w:right w:val="single" w:sz="4" w:space="0" w:color="auto"/>
            </w:tcBorders>
            <w:vAlign w:val="bottom"/>
          </w:tcPr>
          <w:p w:rsidR="004E2DCE" w:rsidRPr="00D150B6" w:rsidRDefault="004E2DCE" w:rsidP="009F22AD">
            <w:pPr>
              <w:jc w:val="both"/>
              <w:rPr>
                <w:b/>
              </w:rPr>
            </w:pPr>
            <w:r w:rsidRPr="00D150B6">
              <w:rPr>
                <w:b/>
              </w:rPr>
              <w:lastRenderedPageBreak/>
              <w:t>Tantárgyfelelős: Dr. René Kegelmann, f. docens</w:t>
            </w:r>
          </w:p>
          <w:p w:rsidR="004E2DCE" w:rsidRPr="00D150B6" w:rsidRDefault="004E2DCE" w:rsidP="009F22AD">
            <w:pPr>
              <w:jc w:val="both"/>
              <w:rPr>
                <w:b/>
              </w:rPr>
            </w:pPr>
            <w:r w:rsidRPr="00D150B6">
              <w:rPr>
                <w:b/>
              </w:rPr>
              <w:t>Oktatók: Dr. René Kegelmann, dr. Nagy Rita</w:t>
            </w:r>
          </w:p>
        </w:tc>
      </w:tr>
    </w:tbl>
    <w:p w:rsidR="00942D46" w:rsidRDefault="00942D46"/>
    <w:sectPr w:rsidR="00942D46" w:rsidSect="00942D4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DB3922"/>
    <w:multiLevelType w:val="hybridMultilevel"/>
    <w:tmpl w:val="06006920"/>
    <w:lvl w:ilvl="0" w:tplc="8612D632">
      <w:start w:val="1"/>
      <w:numFmt w:val="bullet"/>
      <w:lvlText w:val=""/>
      <w:lvlJc w:val="left"/>
      <w:pPr>
        <w:tabs>
          <w:tab w:val="num" w:pos="284"/>
        </w:tabs>
        <w:ind w:left="284" w:hanging="284"/>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nsid w:val="33935DD8"/>
    <w:multiLevelType w:val="hybridMultilevel"/>
    <w:tmpl w:val="05EA24BC"/>
    <w:lvl w:ilvl="0" w:tplc="441AFEAA">
      <w:start w:val="1"/>
      <w:numFmt w:val="bullet"/>
      <w:lvlText w:val=""/>
      <w:lvlJc w:val="left"/>
      <w:pPr>
        <w:tabs>
          <w:tab w:val="num" w:pos="284"/>
        </w:tabs>
        <w:ind w:left="284" w:hanging="284"/>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4E2DCE"/>
    <w:rsid w:val="00471DD5"/>
    <w:rsid w:val="004E2DCE"/>
    <w:rsid w:val="00593BCC"/>
    <w:rsid w:val="00942D46"/>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E2DCE"/>
    <w:pPr>
      <w:spacing w:after="0" w:line="240" w:lineRule="auto"/>
    </w:pPr>
    <w:rPr>
      <w:rFonts w:ascii="Times New Roman" w:eastAsia="Times New Roman" w:hAnsi="Times New Roman" w:cs="Times New Roman"/>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4115</Characters>
  <Application>Microsoft Office Word</Application>
  <DocSecurity>0</DocSecurity>
  <Lines>34</Lines>
  <Paragraphs>9</Paragraphs>
  <ScaleCrop>false</ScaleCrop>
  <Company>EKF</Company>
  <LinksUpToDate>false</LinksUpToDate>
  <CharactersWithSpaces>4702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Német</dc:creator>
  <cp:keywords/>
  <dc:description/>
  <cp:lastModifiedBy>Német</cp:lastModifiedBy>
  <cp:revision>2</cp:revision>
  <dcterms:created xsi:type="dcterms:W3CDTF">2010-06-30T09:05:00Z</dcterms:created>
  <dcterms:modified xsi:type="dcterms:W3CDTF">2010-06-30T09:22:00Z</dcterms:modified>
</cp:coreProperties>
</file>