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"/>
        <w:gridCol w:w="850"/>
        <w:gridCol w:w="1134"/>
        <w:gridCol w:w="2836"/>
        <w:gridCol w:w="3120"/>
      </w:tblGrid>
      <w:tr w:rsidR="008C6503" w:rsidTr="000A1714">
        <w:trPr>
          <w:trHeight w:val="56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03" w:rsidRDefault="008C6503" w:rsidP="000A1714">
            <w:pPr>
              <w:pStyle w:val="Cmsor3"/>
              <w:numPr>
                <w:ilvl w:val="0"/>
                <w:numId w:val="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Tantárgy neve: Nyelvgyakorlat</w:t>
            </w:r>
          </w:p>
          <w:p w:rsidR="008C6503" w:rsidRDefault="008C6503" w:rsidP="000A1714">
            <w:pPr>
              <w:pStyle w:val="Cmsor3"/>
              <w:numPr>
                <w:ilvl w:val="0"/>
                <w:numId w:val="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Tantárgyelem neve: Nyelvtani alapok I., II.</w:t>
            </w:r>
          </w:p>
          <w:p w:rsidR="008C6503" w:rsidRPr="003669AD" w:rsidRDefault="005E78BD" w:rsidP="000A17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Kód: L</w:t>
            </w:r>
            <w:r w:rsidR="008C6503" w:rsidRPr="003669AD">
              <w:rPr>
                <w:b/>
                <w:sz w:val="24"/>
                <w:szCs w:val="24"/>
              </w:rPr>
              <w:t>BB_</w:t>
            </w:r>
            <w:proofErr w:type="gramStart"/>
            <w:r w:rsidR="008C6503" w:rsidRPr="003669AD">
              <w:rPr>
                <w:b/>
                <w:sz w:val="24"/>
                <w:szCs w:val="24"/>
              </w:rPr>
              <w:t>GE162G4   Nyelvtani</w:t>
            </w:r>
            <w:proofErr w:type="gramEnd"/>
            <w:r w:rsidR="008C6503" w:rsidRPr="003669AD">
              <w:rPr>
                <w:b/>
                <w:sz w:val="24"/>
                <w:szCs w:val="24"/>
              </w:rPr>
              <w:t xml:space="preserve"> alapok I. </w:t>
            </w:r>
          </w:p>
          <w:p w:rsidR="008C6503" w:rsidRPr="003669AD" w:rsidRDefault="005E78BD" w:rsidP="000A1714">
            <w:r>
              <w:rPr>
                <w:b/>
                <w:sz w:val="24"/>
                <w:szCs w:val="24"/>
              </w:rPr>
              <w:t>Kód: L</w:t>
            </w:r>
            <w:r w:rsidR="008C6503" w:rsidRPr="003669AD">
              <w:rPr>
                <w:b/>
                <w:sz w:val="24"/>
                <w:szCs w:val="24"/>
              </w:rPr>
              <w:t>BB_</w:t>
            </w:r>
            <w:proofErr w:type="gramStart"/>
            <w:r w:rsidR="008C6503" w:rsidRPr="003669AD">
              <w:rPr>
                <w:b/>
                <w:sz w:val="24"/>
                <w:szCs w:val="24"/>
              </w:rPr>
              <w:t>GE163G4   Nyelvtani</w:t>
            </w:r>
            <w:proofErr w:type="gramEnd"/>
            <w:r w:rsidR="008C6503" w:rsidRPr="003669AD">
              <w:rPr>
                <w:b/>
                <w:sz w:val="24"/>
                <w:szCs w:val="24"/>
              </w:rPr>
              <w:t xml:space="preserve"> alapok II.</w:t>
            </w:r>
            <w:r w:rsidR="008C6503">
              <w:t xml:space="preserve"> </w:t>
            </w:r>
          </w:p>
        </w:tc>
      </w:tr>
      <w:tr w:rsidR="008C6503" w:rsidTr="000A1714"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Kredit:</w:t>
            </w:r>
          </w:p>
          <w:p w:rsidR="008C6503" w:rsidRDefault="008C6503" w:rsidP="000A1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Félév:</w:t>
            </w:r>
          </w:p>
          <w:p w:rsidR="008C6503" w:rsidRDefault="008C6503" w:rsidP="000A1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1./2.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8BD" w:rsidRDefault="005E78BD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Féléves</w:t>
            </w:r>
          </w:p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óraszám:</w:t>
            </w:r>
          </w:p>
          <w:p w:rsidR="008C6503" w:rsidRDefault="005E78BD" w:rsidP="000A1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30/30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03" w:rsidRDefault="008C6503" w:rsidP="000A171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Óratípus:</w:t>
            </w:r>
            <w:r>
              <w:rPr>
                <w:sz w:val="24"/>
                <w:szCs w:val="24"/>
              </w:rPr>
              <w:tab/>
            </w:r>
          </w:p>
          <w:p w:rsidR="008C6503" w:rsidRDefault="008C6503" w:rsidP="000A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Előadás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</w:t>
            </w:r>
          </w:p>
          <w:p w:rsidR="008C6503" w:rsidRDefault="008C6503" w:rsidP="000A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Szeminárium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X</w:t>
            </w:r>
          </w:p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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Értékelés:</w:t>
            </w:r>
          </w:p>
          <w:p w:rsidR="008C6503" w:rsidRDefault="008C6503" w:rsidP="000A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Kollokvium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</w:t>
            </w:r>
          </w:p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Gyakorlati jegy</w:t>
            </w:r>
            <w:r>
              <w:rPr>
                <w:sz w:val="24"/>
                <w:szCs w:val="24"/>
              </w:rPr>
              <w:tab/>
              <w:t>X</w:t>
            </w:r>
          </w:p>
        </w:tc>
      </w:tr>
      <w:tr w:rsidR="008C6503" w:rsidTr="000A1714">
        <w:trPr>
          <w:trHeight w:val="444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03" w:rsidRDefault="008C6503" w:rsidP="000A1714">
            <w:pPr>
              <w:ind w:left="282" w:hanging="282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 leírása:</w:t>
            </w:r>
          </w:p>
          <w:p w:rsidR="008C6503" w:rsidRDefault="008C6503" w:rsidP="000A1714">
            <w:pPr>
              <w:jc w:val="both"/>
              <w:rPr>
                <w:sz w:val="24"/>
                <w:szCs w:val="24"/>
              </w:rPr>
            </w:pPr>
          </w:p>
          <w:p w:rsidR="008C6503" w:rsidRDefault="008C6503" w:rsidP="000A1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tárgy célja a hallgatók nyelvtani ismereteinek elmélyítése, rendszerezése, a későbbi nyelvészeti tanulmányok megalapozása, felkészítés az év végi nyelvi alapvizsgára. A legfontosabb nyelvtani jelenségek rövid elméleti összefoglalása mellett jelentős szerepet kap a gyakorlás.</w:t>
            </w:r>
          </w:p>
          <w:p w:rsidR="008C6503" w:rsidRDefault="008C6503" w:rsidP="000A1714">
            <w:pPr>
              <w:jc w:val="both"/>
              <w:rPr>
                <w:sz w:val="24"/>
                <w:szCs w:val="24"/>
              </w:rPr>
            </w:pPr>
          </w:p>
          <w:p w:rsidR="008C6503" w:rsidRDefault="008C6503" w:rsidP="000A1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Súlyponti témák: </w:t>
            </w:r>
          </w:p>
          <w:p w:rsidR="008C6503" w:rsidRDefault="008C6503" w:rsidP="000A1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igei kategóriák, az igevonzatok, a </w:t>
            </w:r>
            <w:proofErr w:type="spellStart"/>
            <w:r>
              <w:rPr>
                <w:i/>
                <w:sz w:val="24"/>
                <w:szCs w:val="24"/>
              </w:rPr>
              <w:t>lassen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 használata. A főnévi kategóriák. A névelők használata. A névmások ragozása és használata. A melléknév ragozása és fokozása. Az egyszerű és összetett mondat. A mellékmondatok. Szórendi kérdések.</w:t>
            </w:r>
          </w:p>
          <w:p w:rsidR="008C6503" w:rsidRDefault="008C6503" w:rsidP="000A1714">
            <w:pPr>
              <w:ind w:left="282" w:hanging="282"/>
              <w:rPr>
                <w:sz w:val="24"/>
                <w:szCs w:val="24"/>
              </w:rPr>
            </w:pPr>
          </w:p>
        </w:tc>
      </w:tr>
      <w:tr w:rsidR="008C6503" w:rsidTr="000A1714">
        <w:trPr>
          <w:trHeight w:val="243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</w:p>
          <w:p w:rsidR="008C6503" w:rsidRDefault="008C6503" w:rsidP="008C650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Dreyer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Hilke</w:t>
            </w:r>
            <w:proofErr w:type="spellEnd"/>
            <w:r>
              <w:rPr>
                <w:sz w:val="24"/>
                <w:szCs w:val="24"/>
              </w:rPr>
              <w:t xml:space="preserve">/Schmitt, Richard: </w:t>
            </w:r>
            <w:proofErr w:type="spellStart"/>
            <w:r>
              <w:rPr>
                <w:sz w:val="24"/>
                <w:szCs w:val="24"/>
              </w:rPr>
              <w:t>Lehr-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Übungsbuch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deutschen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Grammatik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Neubearbeitung</w:t>
            </w:r>
            <w:proofErr w:type="spellEnd"/>
            <w:r>
              <w:rPr>
                <w:sz w:val="24"/>
                <w:szCs w:val="24"/>
              </w:rPr>
              <w:t xml:space="preserve">. Max </w:t>
            </w:r>
            <w:proofErr w:type="spellStart"/>
            <w:r>
              <w:rPr>
                <w:sz w:val="24"/>
                <w:szCs w:val="24"/>
              </w:rPr>
              <w:t>Hueber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Ismaning</w:t>
            </w:r>
            <w:proofErr w:type="spellEnd"/>
            <w:r>
              <w:rPr>
                <w:sz w:val="24"/>
                <w:szCs w:val="24"/>
              </w:rPr>
              <w:t>, 2000.</w:t>
            </w:r>
          </w:p>
          <w:p w:rsidR="008C6503" w:rsidRDefault="008C6503" w:rsidP="008C650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Uzonyi</w:t>
            </w:r>
            <w:proofErr w:type="spellEnd"/>
            <w:r>
              <w:rPr>
                <w:sz w:val="24"/>
                <w:szCs w:val="24"/>
              </w:rPr>
              <w:t xml:space="preserve"> Pál: Rendszeres német nyelvtan. AULA Kiadó: Budapest, 1996.</w:t>
            </w:r>
          </w:p>
          <w:p w:rsidR="008C6503" w:rsidRDefault="008C6503" w:rsidP="008C650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Brand</w:t>
            </w:r>
            <w:proofErr w:type="spellEnd"/>
            <w:r>
              <w:rPr>
                <w:sz w:val="24"/>
                <w:szCs w:val="24"/>
              </w:rPr>
              <w:t>, Linda M./</w:t>
            </w:r>
            <w:proofErr w:type="spellStart"/>
            <w:r>
              <w:rPr>
                <w:sz w:val="24"/>
                <w:szCs w:val="24"/>
              </w:rPr>
              <w:t>Kresin</w:t>
            </w:r>
            <w:proofErr w:type="spellEnd"/>
            <w:r>
              <w:rPr>
                <w:sz w:val="24"/>
                <w:szCs w:val="24"/>
              </w:rPr>
              <w:t>, Jutta/</w:t>
            </w:r>
            <w:proofErr w:type="spellStart"/>
            <w:r>
              <w:rPr>
                <w:sz w:val="24"/>
                <w:szCs w:val="24"/>
              </w:rPr>
              <w:t>Pechat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Murakami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Karlschek</w:t>
            </w:r>
            <w:proofErr w:type="spellEnd"/>
            <w:r>
              <w:rPr>
                <w:sz w:val="24"/>
                <w:szCs w:val="24"/>
              </w:rPr>
              <w:t xml:space="preserve">: Die </w:t>
            </w:r>
            <w:proofErr w:type="spellStart"/>
            <w:r>
              <w:rPr>
                <w:sz w:val="24"/>
                <w:szCs w:val="24"/>
              </w:rPr>
              <w:t>Schöne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angekommen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Grammatikkrimi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Kiadó: Budapest, 2000.</w:t>
            </w:r>
          </w:p>
          <w:p w:rsidR="008C6503" w:rsidRDefault="008C6503" w:rsidP="000A1714">
            <w:pPr>
              <w:rPr>
                <w:sz w:val="24"/>
                <w:szCs w:val="24"/>
              </w:rPr>
            </w:pPr>
          </w:p>
        </w:tc>
      </w:tr>
      <w:tr w:rsidR="008C6503" w:rsidTr="000A1714">
        <w:trPr>
          <w:trHeight w:val="115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Tantárgyfelelős: Dr. Kalocsai-Varga Éva PhD</w:t>
            </w:r>
          </w:p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Oktatók: Dr. Kalocsai-Varga Éva PhD, dr. René </w:t>
            </w:r>
            <w:proofErr w:type="spellStart"/>
            <w:r>
              <w:rPr>
                <w:b/>
                <w:bCs/>
                <w:sz w:val="24"/>
                <w:szCs w:val="24"/>
              </w:rPr>
              <w:t>Kegelmann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PhD, dr. Harsányi Mihály PhD, dr. Murányiné dr. Zagyvai Márta dr. </w:t>
            </w:r>
            <w:proofErr w:type="spellStart"/>
            <w:r>
              <w:rPr>
                <w:b/>
                <w:bCs/>
                <w:sz w:val="24"/>
                <w:szCs w:val="24"/>
              </w:rPr>
              <w:t>univ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</w:rPr>
              <w:t>.,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doktorandusz, dr. Ujvári Hedvig PhD, Varga Éva doktorandusz, Virág Irén doktorandusz, Csehó Tamás doktorandusz, Kelemen Imre, Szabó Martina</w:t>
            </w:r>
          </w:p>
          <w:p w:rsidR="008C6503" w:rsidRDefault="008C6503" w:rsidP="000A1714">
            <w:pPr>
              <w:pStyle w:val="Nv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8C6503" w:rsidRDefault="008C6503" w:rsidP="008C6503">
      <w:pPr>
        <w:rPr>
          <w:sz w:val="24"/>
          <w:szCs w:val="24"/>
        </w:rPr>
      </w:pPr>
    </w:p>
    <w:p w:rsidR="00E5593F" w:rsidRDefault="00E5593F"/>
    <w:sectPr w:rsidR="00E5593F" w:rsidSect="00E5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pPr>
        <w:ind w:left="0" w:firstLine="0"/>
      </w:pPr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  <w:pPr>
        <w:ind w:left="0" w:firstLine="0"/>
      </w:p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pPr>
        <w:ind w:left="0" w:firstLine="0"/>
      </w:p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1">
    <w:nsid w:val="28BC5DAD"/>
    <w:multiLevelType w:val="hybridMultilevel"/>
    <w:tmpl w:val="FF5403E8"/>
    <w:lvl w:ilvl="0" w:tplc="291C7DB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8C6503"/>
    <w:rsid w:val="005E78BD"/>
    <w:rsid w:val="00713B65"/>
    <w:rsid w:val="008C6503"/>
    <w:rsid w:val="00E5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6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C650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8C650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link w:val="Cmsor3Char"/>
    <w:unhideWhenUsed/>
    <w:qFormat/>
    <w:rsid w:val="008C6503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nhideWhenUsed/>
    <w:qFormat/>
    <w:rsid w:val="008C6503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8C650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nhideWhenUsed/>
    <w:qFormat/>
    <w:rsid w:val="008C650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link w:val="Cmsor7Char"/>
    <w:unhideWhenUsed/>
    <w:qFormat/>
    <w:rsid w:val="008C650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link w:val="Cmsor8Char"/>
    <w:unhideWhenUsed/>
    <w:qFormat/>
    <w:rsid w:val="008C650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link w:val="Cmsor9Char"/>
    <w:unhideWhenUsed/>
    <w:qFormat/>
    <w:rsid w:val="008C650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C6503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C6503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8C650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C6503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C6503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8C6503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8C6503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8C6503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8C6503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Nv">
    <w:name w:val="Név"/>
    <w:basedOn w:val="Norml"/>
    <w:rsid w:val="008C6503"/>
    <w:pPr>
      <w:autoSpaceDE w:val="0"/>
      <w:autoSpaceDN w:val="0"/>
      <w:jc w:val="center"/>
    </w:pPr>
    <w:rPr>
      <w:rFonts w:ascii="Book Antiqua" w:hAnsi="Book Antiqua" w:cs="Book Antiqu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1338</Characters>
  <Application>Microsoft Office Word</Application>
  <DocSecurity>0</DocSecurity>
  <Lines>11</Lines>
  <Paragraphs>3</Paragraphs>
  <ScaleCrop>false</ScaleCrop>
  <Company>EKF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2</cp:revision>
  <dcterms:created xsi:type="dcterms:W3CDTF">2010-07-09T07:17:00Z</dcterms:created>
  <dcterms:modified xsi:type="dcterms:W3CDTF">2010-07-09T10:08:00Z</dcterms:modified>
</cp:coreProperties>
</file>