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502A27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Nyelvgyakorlat</w:t>
            </w:r>
          </w:p>
          <w:p w:rsidR="00502A27" w:rsidRDefault="00502A27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Nyelvi alapok I., II.</w:t>
            </w:r>
          </w:p>
          <w:p w:rsidR="00502A27" w:rsidRDefault="00550DE0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502A27" w:rsidRPr="00ED0B63">
              <w:rPr>
                <w:b/>
                <w:sz w:val="24"/>
                <w:szCs w:val="24"/>
              </w:rPr>
              <w:t>BB_</w:t>
            </w:r>
            <w:proofErr w:type="gramStart"/>
            <w:r w:rsidR="00502A27" w:rsidRPr="00ED0B63">
              <w:rPr>
                <w:b/>
                <w:sz w:val="24"/>
                <w:szCs w:val="24"/>
              </w:rPr>
              <w:t>GE159G4</w:t>
            </w:r>
            <w:r w:rsidR="00502A27">
              <w:rPr>
                <w:b/>
                <w:sz w:val="24"/>
                <w:szCs w:val="24"/>
              </w:rPr>
              <w:t xml:space="preserve">    Nyelvi</w:t>
            </w:r>
            <w:proofErr w:type="gramEnd"/>
            <w:r w:rsidR="00502A27">
              <w:rPr>
                <w:b/>
                <w:sz w:val="24"/>
                <w:szCs w:val="24"/>
              </w:rPr>
              <w:t xml:space="preserve"> alapok I. </w:t>
            </w:r>
          </w:p>
          <w:p w:rsidR="00502A27" w:rsidRPr="00ED0B63" w:rsidRDefault="00550DE0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502A27">
              <w:rPr>
                <w:b/>
                <w:sz w:val="24"/>
                <w:szCs w:val="24"/>
              </w:rPr>
              <w:t>BB_</w:t>
            </w:r>
            <w:proofErr w:type="gramStart"/>
            <w:r w:rsidR="00502A27">
              <w:rPr>
                <w:b/>
                <w:sz w:val="24"/>
                <w:szCs w:val="24"/>
              </w:rPr>
              <w:t>GE160G4    Nyelvi</w:t>
            </w:r>
            <w:proofErr w:type="gramEnd"/>
            <w:r w:rsidR="00502A27">
              <w:rPr>
                <w:b/>
                <w:sz w:val="24"/>
                <w:szCs w:val="24"/>
              </w:rPr>
              <w:t xml:space="preserve"> alapok II. </w:t>
            </w:r>
          </w:p>
        </w:tc>
      </w:tr>
      <w:tr w:rsidR="00502A27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02A27" w:rsidRDefault="00502A27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02A27" w:rsidRDefault="00502A27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50DE0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  <w:r w:rsidR="00502A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02A27" w:rsidRDefault="00550DE0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502A27" w:rsidTr="000A1714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02A27" w:rsidRDefault="00502A27" w:rsidP="000A1714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502A27" w:rsidRDefault="00502A27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elsődleges célja, hogy a hallgatókat az év végi nyelvi alapvizsgára felkészítse. Fő hangsúlyt kap a kommunikációs készségek fejlesztése, a szókincs bővítése, valamint a helyes kiejtés és intonáció elsajátítása. A tankönyvek mellett aktuális újságcikkekkel, autentikus hangfelvételekkel, </w:t>
            </w:r>
            <w:proofErr w:type="spellStart"/>
            <w:r>
              <w:rPr>
                <w:sz w:val="24"/>
                <w:szCs w:val="24"/>
              </w:rPr>
              <w:t>videófelvételekkel</w:t>
            </w:r>
            <w:proofErr w:type="spellEnd"/>
            <w:r>
              <w:rPr>
                <w:sz w:val="24"/>
                <w:szCs w:val="24"/>
              </w:rPr>
              <w:t xml:space="preserve"> és filmekkel fejlesztjük a négy alapkészséget (hallás, beszéd, olvasás, írás). </w:t>
            </w:r>
          </w:p>
          <w:p w:rsidR="00502A27" w:rsidRDefault="00502A27" w:rsidP="000A1714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502A27" w:rsidTr="000A1714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02A27" w:rsidRDefault="00502A27" w:rsidP="000A1714">
            <w:pPr>
              <w:rPr>
                <w:b/>
                <w:bCs/>
              </w:rPr>
            </w:pP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Schumann</w:t>
            </w:r>
            <w:r>
              <w:rPr>
                <w:sz w:val="24"/>
                <w:szCs w:val="24"/>
                <w:lang w:val="de-DE"/>
              </w:rPr>
              <w:t>, Johannes: Mittelstufe Deutsch. Verlag für Deutsch: München, 1993</w:t>
            </w:r>
            <w:r>
              <w:rPr>
                <w:sz w:val="24"/>
                <w:szCs w:val="24"/>
              </w:rPr>
              <w:t>.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Csehó Tamás/Virág Irén: </w:t>
            </w:r>
            <w:proofErr w:type="spellStart"/>
            <w:r>
              <w:rPr>
                <w:sz w:val="24"/>
                <w:szCs w:val="24"/>
              </w:rPr>
              <w:t>Übungsmaterialien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schriftlichen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Grundprüfung</w:t>
            </w:r>
            <w:proofErr w:type="spellEnd"/>
            <w:r>
              <w:rPr>
                <w:sz w:val="24"/>
                <w:szCs w:val="24"/>
              </w:rPr>
              <w:t>. Líceum Kiadó: Eger, 2005</w:t>
            </w:r>
            <w:r>
              <w:rPr>
                <w:bCs/>
                <w:iCs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 Bernadett: Középfokú kurzuskönyv a német szóbeli nyelvvizsgára. Szerzői kiadás: Győr, 2001.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folyóiratokból.</w:t>
            </w:r>
          </w:p>
          <w:p w:rsidR="00502A27" w:rsidRDefault="00502A27" w:rsidP="000A1714">
            <w:pPr>
              <w:jc w:val="both"/>
              <w:rPr>
                <w:sz w:val="24"/>
                <w:szCs w:val="24"/>
              </w:rPr>
            </w:pPr>
          </w:p>
          <w:p w:rsidR="00502A27" w:rsidRDefault="00502A27" w:rsidP="000A1714"/>
        </w:tc>
      </w:tr>
      <w:tr w:rsidR="00502A27" w:rsidTr="000A1714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Kalocsai-Varga Éva PhD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Kalocsai-Varga Éva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Ujvári Hedvig PhD, Varga Éva doktorandusz, Virág Irén doktorandusz, Csehó Tamás doktorandusz, Kelemen Imre, Szabó Martina</w:t>
            </w:r>
          </w:p>
          <w:p w:rsidR="00502A27" w:rsidRDefault="00502A27" w:rsidP="000A1714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502A27" w:rsidRDefault="00502A27" w:rsidP="00502A27">
      <w:pPr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FC9188E"/>
    <w:multiLevelType w:val="hybridMultilevel"/>
    <w:tmpl w:val="781C58B8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02A27"/>
    <w:rsid w:val="00502A27"/>
    <w:rsid w:val="00550DE0"/>
    <w:rsid w:val="00D64F08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2A2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02A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02A2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02A2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02A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02A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02A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02A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02A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2A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02A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02A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02A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02A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02A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02A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02A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02A2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02A27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Company>EKF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2010-07-09T07:16:00Z</dcterms:created>
  <dcterms:modified xsi:type="dcterms:W3CDTF">2010-07-09T10:07:00Z</dcterms:modified>
</cp:coreProperties>
</file>